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BE" w:rsidRDefault="004E43BE" w:rsidP="004E43BE">
      <w:bookmarkStart w:id="0" w:name="_GoBack"/>
      <w:bookmarkEnd w:id="0"/>
      <w:r w:rsidRPr="006C0B64">
        <w:t>H. LOUIS SIRKIN (</w:t>
      </w:r>
      <w:r w:rsidRPr="006C0B64">
        <w:rPr>
          <w:i/>
        </w:rPr>
        <w:t xml:space="preserve">pro </w:t>
      </w:r>
      <w:proofErr w:type="spellStart"/>
      <w:r w:rsidRPr="006C0B64">
        <w:rPr>
          <w:i/>
        </w:rPr>
        <w:t>hac</w:t>
      </w:r>
      <w:proofErr w:type="spellEnd"/>
      <w:r w:rsidRPr="006C0B64">
        <w:rPr>
          <w:i/>
        </w:rPr>
        <w:t xml:space="preserve"> vice</w:t>
      </w:r>
      <w:r w:rsidRPr="006C0B64">
        <w:t>)</w:t>
      </w:r>
    </w:p>
    <w:p w:rsidR="004E43BE" w:rsidRPr="00A558B2" w:rsidRDefault="004E43BE" w:rsidP="004E43BE">
      <w:pPr>
        <w:rPr>
          <w:i/>
        </w:rPr>
      </w:pPr>
      <w:r w:rsidRPr="00A558B2">
        <w:rPr>
          <w:i/>
        </w:rPr>
        <w:t>hls@santen-hughes.com</w:t>
      </w:r>
    </w:p>
    <w:p w:rsidR="004E43BE" w:rsidRDefault="004E43BE" w:rsidP="004E43BE">
      <w:r w:rsidRPr="006C0B64">
        <w:t>BRIAN P. O’CONNOR (</w:t>
      </w:r>
      <w:r w:rsidRPr="006C0B64">
        <w:rPr>
          <w:i/>
        </w:rPr>
        <w:t xml:space="preserve">pro </w:t>
      </w:r>
      <w:proofErr w:type="spellStart"/>
      <w:r w:rsidRPr="006C0B64">
        <w:rPr>
          <w:i/>
        </w:rPr>
        <w:t>hac</w:t>
      </w:r>
      <w:proofErr w:type="spellEnd"/>
      <w:r w:rsidRPr="006C0B64">
        <w:rPr>
          <w:i/>
        </w:rPr>
        <w:t xml:space="preserve"> vice</w:t>
      </w:r>
      <w:r w:rsidRPr="006C0B64">
        <w:t>)</w:t>
      </w:r>
    </w:p>
    <w:p w:rsidR="004E43BE" w:rsidRPr="00A558B2" w:rsidRDefault="004E43BE" w:rsidP="004E43BE">
      <w:pPr>
        <w:rPr>
          <w:i/>
        </w:rPr>
      </w:pPr>
      <w:r w:rsidRPr="00A558B2">
        <w:rPr>
          <w:i/>
        </w:rPr>
        <w:t>bpo@santen-hughes.com</w:t>
      </w:r>
    </w:p>
    <w:p w:rsidR="004E43BE" w:rsidRPr="006C0B64" w:rsidRDefault="004E43BE" w:rsidP="004E43BE">
      <w:r w:rsidRPr="006C0B64">
        <w:t>SANTEN &amp; HUGHES, LPA</w:t>
      </w:r>
    </w:p>
    <w:p w:rsidR="004E43BE" w:rsidRPr="006C0B64" w:rsidRDefault="004E43BE" w:rsidP="004E43BE">
      <w:r w:rsidRPr="006C0B64">
        <w:t>600 Vine Street, Suite 2700, Cincinnati, Ohio  45202</w:t>
      </w:r>
    </w:p>
    <w:p w:rsidR="004E43BE" w:rsidRPr="006C0B64" w:rsidRDefault="004E43BE" w:rsidP="004E43BE">
      <w:r w:rsidRPr="006C0B64">
        <w:t>Telephone: (513) 721-4450, Facsimile: (513) 721-0109</w:t>
      </w:r>
    </w:p>
    <w:p w:rsidR="004E43BE" w:rsidRPr="006C0B64" w:rsidRDefault="004E43BE" w:rsidP="004E43BE"/>
    <w:p w:rsidR="004E43BE" w:rsidRDefault="004E43BE" w:rsidP="004E43BE">
      <w:r w:rsidRPr="006C0B64">
        <w:t>D. GILL SPERLEIN</w:t>
      </w:r>
      <w:r>
        <w:t xml:space="preserve"> (</w:t>
      </w:r>
      <w:r w:rsidRPr="006C0B64">
        <w:t xml:space="preserve">SBN </w:t>
      </w:r>
      <w:r>
        <w:t>172887)</w:t>
      </w:r>
    </w:p>
    <w:p w:rsidR="004E43BE" w:rsidRPr="00A558B2" w:rsidRDefault="004E43BE" w:rsidP="004E43BE">
      <w:pPr>
        <w:rPr>
          <w:i/>
        </w:rPr>
      </w:pPr>
      <w:r>
        <w:rPr>
          <w:i/>
        </w:rPr>
        <w:t>gill@sperleinlaw.com</w:t>
      </w:r>
    </w:p>
    <w:p w:rsidR="004E43BE" w:rsidRPr="006C0B64" w:rsidRDefault="004E43BE" w:rsidP="004E43BE">
      <w:r w:rsidRPr="006C0B64">
        <w:t>THE LAW OFFICES OF D. GILL SPERLEIN</w:t>
      </w:r>
    </w:p>
    <w:p w:rsidR="004E43BE" w:rsidRPr="006C0B64" w:rsidRDefault="004E43BE" w:rsidP="004E43BE">
      <w:r>
        <w:t>345 Grove Street, San Francisco, California 94102</w:t>
      </w:r>
    </w:p>
    <w:p w:rsidR="004E43BE" w:rsidRDefault="004E43BE" w:rsidP="004E43BE">
      <w:r w:rsidRPr="006C0B64">
        <w:t xml:space="preserve">Telephone: </w:t>
      </w:r>
      <w:r>
        <w:t>(415) 404-6615</w:t>
      </w:r>
      <w:r w:rsidRPr="006C0B64">
        <w:t xml:space="preserve">, Facsimile </w:t>
      </w:r>
      <w:r>
        <w:t>(415) 404-6616</w:t>
      </w:r>
    </w:p>
    <w:p w:rsidR="004E43BE" w:rsidRDefault="004E43BE" w:rsidP="004E43BE"/>
    <w:p w:rsidR="004E43BE" w:rsidRDefault="004E43BE" w:rsidP="004E43BE">
      <w:r>
        <w:t>Attorneys for Plaintiffs EROTIC SERVICE PROVIDERS</w:t>
      </w:r>
    </w:p>
    <w:p w:rsidR="004E43BE" w:rsidRDefault="004E43BE" w:rsidP="004E43BE">
      <w:r>
        <w:t>LEGAL, EDUCATION &amp; RESEARCH PROJECT; K.L.E.S.;</w:t>
      </w:r>
    </w:p>
    <w:p w:rsidR="005E2C05" w:rsidRDefault="004E43BE" w:rsidP="004E43BE">
      <w:pPr>
        <w:pStyle w:val="FirmInformation"/>
      </w:pPr>
      <w:r>
        <w:t>C.V.; J.B.; AND JOHN DOE</w:t>
      </w:r>
    </w:p>
    <w:p w:rsidR="00262571" w:rsidRDefault="00262571" w:rsidP="005E2C05">
      <w:pPr>
        <w:pStyle w:val="FirmInformation"/>
      </w:pPr>
    </w:p>
    <w:p w:rsidR="005F0981" w:rsidRDefault="005F0981" w:rsidP="00726C99">
      <w:pPr>
        <w:pStyle w:val="Court"/>
      </w:pPr>
      <w:bookmarkStart w:id="1" w:name="Court"/>
    </w:p>
    <w:p w:rsidR="004E43BE" w:rsidRDefault="004E43BE" w:rsidP="004E43BE">
      <w:pPr>
        <w:jc w:val="center"/>
        <w:rPr>
          <w:b/>
        </w:rPr>
      </w:pPr>
      <w:r>
        <w:rPr>
          <w:b/>
        </w:rPr>
        <w:t>UNITED STATES DISTRICT COURT</w:t>
      </w:r>
    </w:p>
    <w:p w:rsidR="004E43BE" w:rsidRDefault="002D0443" w:rsidP="004E43BE">
      <w:pPr>
        <w:jc w:val="center"/>
        <w:rPr>
          <w:b/>
        </w:rPr>
      </w:pPr>
      <w:r>
        <w:rPr>
          <w:b/>
        </w:rPr>
        <w:t xml:space="preserve">FOR THE </w:t>
      </w:r>
      <w:r w:rsidR="004E43BE">
        <w:rPr>
          <w:b/>
        </w:rPr>
        <w:t>NORTHERN DISTRICT OF CALIFORNIA</w:t>
      </w:r>
    </w:p>
    <w:p w:rsidR="00726C99" w:rsidRDefault="002D0443" w:rsidP="004E43BE">
      <w:pPr>
        <w:pStyle w:val="Court"/>
        <w:rPr>
          <w:b/>
        </w:rPr>
      </w:pPr>
      <w:r>
        <w:rPr>
          <w:b/>
        </w:rPr>
        <w:t>OAKLAND DIVISION</w:t>
      </w:r>
    </w:p>
    <w:p w:rsidR="006F0AD0" w:rsidRDefault="006F0AD0" w:rsidP="00726C99">
      <w:pPr>
        <w:pStyle w:val="Court"/>
      </w:pPr>
    </w:p>
    <w:tbl>
      <w:tblPr>
        <w:tblW w:w="9540" w:type="dxa"/>
        <w:tblLayout w:type="fixed"/>
        <w:tblCellMar>
          <w:left w:w="0" w:type="dxa"/>
          <w:right w:w="0" w:type="dxa"/>
        </w:tblCellMar>
        <w:tblLook w:val="01E0" w:firstRow="1" w:lastRow="1" w:firstColumn="1" w:lastColumn="1" w:noHBand="0" w:noVBand="0"/>
      </w:tblPr>
      <w:tblGrid>
        <w:gridCol w:w="4859"/>
        <w:gridCol w:w="541"/>
        <w:gridCol w:w="4140"/>
      </w:tblGrid>
      <w:tr w:rsidR="004E43BE" w:rsidTr="004E43BE">
        <w:trPr>
          <w:trHeight w:val="3888"/>
        </w:trPr>
        <w:tc>
          <w:tcPr>
            <w:tcW w:w="4859" w:type="dxa"/>
            <w:tcBorders>
              <w:bottom w:val="single" w:sz="4" w:space="0" w:color="auto"/>
            </w:tcBorders>
          </w:tcPr>
          <w:bookmarkEnd w:id="1"/>
          <w:p w:rsidR="004E43BE" w:rsidRPr="0008736C" w:rsidRDefault="004E43BE" w:rsidP="004E43BE">
            <w:r w:rsidRPr="0008736C">
              <w:t>EROTIC SERVICE PROVIDERS LEGAL,</w:t>
            </w:r>
          </w:p>
          <w:p w:rsidR="004E43BE" w:rsidRPr="0008736C" w:rsidRDefault="004E43BE" w:rsidP="004E43BE">
            <w:r w:rsidRPr="0008736C">
              <w:t>EDUCATION &amp; RESEARCH PROJECT,</w:t>
            </w:r>
          </w:p>
          <w:p w:rsidR="004E43BE" w:rsidRPr="0008736C" w:rsidRDefault="004E43BE" w:rsidP="004E43BE">
            <w:r w:rsidRPr="0008736C">
              <w:t>K.L.E.S..; C.V.; J.B..; AND JOHN DOE,</w:t>
            </w:r>
          </w:p>
          <w:p w:rsidR="004E43BE" w:rsidRPr="0008736C" w:rsidRDefault="004E43BE" w:rsidP="004E43BE"/>
          <w:p w:rsidR="004E43BE" w:rsidRPr="0008736C" w:rsidRDefault="004E43BE" w:rsidP="004E43BE">
            <w:r w:rsidRPr="0008736C">
              <w:tab/>
            </w:r>
            <w:r w:rsidRPr="0008736C">
              <w:tab/>
              <w:t>Plaintiffs,</w:t>
            </w:r>
          </w:p>
          <w:p w:rsidR="00130BC6" w:rsidRDefault="00130BC6" w:rsidP="004E43BE"/>
          <w:p w:rsidR="004E43BE" w:rsidRPr="0008736C" w:rsidRDefault="004E43BE" w:rsidP="004E43BE">
            <w:r w:rsidRPr="0008736C">
              <w:tab/>
              <w:t>vs.</w:t>
            </w:r>
          </w:p>
          <w:p w:rsidR="004E43BE" w:rsidRPr="0008736C" w:rsidRDefault="004E43BE" w:rsidP="004E43BE"/>
          <w:p w:rsidR="004E43BE" w:rsidRPr="0008736C" w:rsidRDefault="00344617" w:rsidP="004E43BE">
            <w:r>
              <w:t>GEORGE GASCÓ</w:t>
            </w:r>
            <w:r w:rsidRPr="0008736C">
              <w:t>N, in his official capacity as District Attorney of the City and County of San Francisco; EDWARD S. BERBERIAN, JR., in his official capacity as District Attorney of the County of Marin; NANCY E. O’MALLEY, in her official capacity as District Attor</w:t>
            </w:r>
            <w:r>
              <w:t>ney of the County of Al</w:t>
            </w:r>
            <w:r w:rsidR="007F5893">
              <w:t>a</w:t>
            </w:r>
            <w:r>
              <w:t>meda;</w:t>
            </w:r>
            <w:r w:rsidRPr="0008736C">
              <w:t xml:space="preserve"> </w:t>
            </w:r>
            <w:r>
              <w:t>JILL RAVITCH</w:t>
            </w:r>
            <w:r w:rsidRPr="0008736C">
              <w:t>, in h</w:t>
            </w:r>
            <w:r>
              <w:t>er</w:t>
            </w:r>
            <w:r w:rsidRPr="0008736C">
              <w:t xml:space="preserve"> official capacity as District Attorn</w:t>
            </w:r>
            <w:r>
              <w:t xml:space="preserve">ey of the County of Sonoma; and </w:t>
            </w:r>
            <w:r w:rsidRPr="0008736C">
              <w:t>KAMALA D. HARRIS, in her official capacity as Attorney General of the S</w:t>
            </w:r>
            <w:r>
              <w:t>tate of California,</w:t>
            </w:r>
          </w:p>
          <w:p w:rsidR="004E43BE" w:rsidRPr="0008736C" w:rsidRDefault="004E43BE" w:rsidP="004E43BE"/>
          <w:p w:rsidR="004E43BE" w:rsidRPr="004E43BE" w:rsidRDefault="004E43BE" w:rsidP="004E43BE">
            <w:r w:rsidRPr="004E43BE">
              <w:tab/>
            </w:r>
            <w:r w:rsidRPr="004E43BE">
              <w:tab/>
              <w:t xml:space="preserve">Defendants                                   </w:t>
            </w:r>
          </w:p>
        </w:tc>
        <w:tc>
          <w:tcPr>
            <w:tcW w:w="541" w:type="dxa"/>
          </w:tcPr>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p w:rsidR="004E43BE" w:rsidRPr="0008736C" w:rsidRDefault="004E43BE" w:rsidP="004E43BE">
            <w:pPr>
              <w:pStyle w:val="SingleSpacing"/>
              <w:spacing w:line="240" w:lineRule="exact"/>
              <w:jc w:val="center"/>
              <w:rPr>
                <w:rFonts w:ascii="Times New Roman" w:hAnsi="Times New Roman"/>
                <w:sz w:val="24"/>
                <w:szCs w:val="24"/>
              </w:rPr>
            </w:pPr>
            <w:r w:rsidRPr="0008736C">
              <w:rPr>
                <w:rFonts w:ascii="Times New Roman" w:hAnsi="Times New Roman"/>
                <w:sz w:val="24"/>
                <w:szCs w:val="24"/>
              </w:rPr>
              <w:t>)</w:t>
            </w:r>
          </w:p>
        </w:tc>
        <w:tc>
          <w:tcPr>
            <w:tcW w:w="4140" w:type="dxa"/>
          </w:tcPr>
          <w:p w:rsidR="004E43BE" w:rsidRPr="0008736C" w:rsidRDefault="004E43BE" w:rsidP="004E43BE">
            <w:pPr>
              <w:pStyle w:val="SingleSpacing"/>
              <w:spacing w:line="240" w:lineRule="exact"/>
              <w:rPr>
                <w:rFonts w:ascii="Times New Roman" w:hAnsi="Times New Roman"/>
                <w:sz w:val="24"/>
                <w:szCs w:val="24"/>
              </w:rPr>
            </w:pPr>
            <w:bookmarkStart w:id="2" w:name="CaseNumber"/>
            <w:bookmarkEnd w:id="2"/>
            <w:r w:rsidRPr="0008736C">
              <w:rPr>
                <w:rFonts w:ascii="Times New Roman" w:hAnsi="Times New Roman"/>
                <w:sz w:val="24"/>
                <w:szCs w:val="24"/>
              </w:rPr>
              <w:t xml:space="preserve">Case No.: </w:t>
            </w:r>
            <w:r w:rsidR="00300A5B">
              <w:rPr>
                <w:rFonts w:ascii="Times New Roman" w:hAnsi="Times New Roman"/>
                <w:sz w:val="24"/>
                <w:szCs w:val="24"/>
              </w:rPr>
              <w:t xml:space="preserve">  4:15-CV-01007 JSW</w:t>
            </w:r>
          </w:p>
          <w:p w:rsidR="004E43BE" w:rsidRPr="0008736C" w:rsidRDefault="004E43BE" w:rsidP="004E43BE">
            <w:pPr>
              <w:pStyle w:val="SingleSpacing"/>
              <w:spacing w:line="240" w:lineRule="exact"/>
              <w:rPr>
                <w:rFonts w:ascii="Times New Roman" w:hAnsi="Times New Roman"/>
                <w:sz w:val="24"/>
                <w:szCs w:val="24"/>
              </w:rPr>
            </w:pPr>
          </w:p>
          <w:p w:rsidR="00267F48" w:rsidRDefault="005A2E8D" w:rsidP="004E43BE">
            <w:pPr>
              <w:pStyle w:val="SingleSpacing"/>
              <w:spacing w:line="240" w:lineRule="exact"/>
              <w:rPr>
                <w:rFonts w:ascii="Times New Roman" w:hAnsi="Times New Roman"/>
                <w:b/>
                <w:sz w:val="24"/>
                <w:szCs w:val="24"/>
              </w:rPr>
            </w:pPr>
            <w:r>
              <w:rPr>
                <w:rFonts w:ascii="Times New Roman" w:hAnsi="Times New Roman"/>
                <w:b/>
                <w:sz w:val="24"/>
                <w:szCs w:val="24"/>
              </w:rPr>
              <w:t>PLAINTIFFS’</w:t>
            </w:r>
            <w:r w:rsidR="00267F48">
              <w:rPr>
                <w:rFonts w:ascii="Times New Roman" w:hAnsi="Times New Roman"/>
                <w:b/>
                <w:sz w:val="24"/>
                <w:szCs w:val="24"/>
              </w:rPr>
              <w:t xml:space="preserve"> </w:t>
            </w:r>
            <w:r w:rsidR="009318C8" w:rsidRPr="009318C8">
              <w:rPr>
                <w:rFonts w:ascii="Times New Roman" w:hAnsi="Times New Roman"/>
                <w:b/>
                <w:sz w:val="24"/>
                <w:szCs w:val="24"/>
              </w:rPr>
              <w:t>SUPPLEMENTAL BRIEF</w:t>
            </w:r>
            <w:r w:rsidR="00267F48">
              <w:rPr>
                <w:rFonts w:ascii="Times New Roman" w:hAnsi="Times New Roman"/>
                <w:b/>
                <w:sz w:val="24"/>
                <w:szCs w:val="24"/>
              </w:rPr>
              <w:t xml:space="preserve"> ON DEFENDANTS’</w:t>
            </w:r>
          </w:p>
          <w:p w:rsidR="004E43BE" w:rsidRPr="009318C8" w:rsidRDefault="00267F48" w:rsidP="004E43BE">
            <w:pPr>
              <w:pStyle w:val="SingleSpacing"/>
              <w:spacing w:line="240" w:lineRule="exact"/>
              <w:rPr>
                <w:rFonts w:ascii="Times New Roman" w:hAnsi="Times New Roman"/>
                <w:b/>
                <w:sz w:val="24"/>
                <w:szCs w:val="24"/>
              </w:rPr>
            </w:pPr>
            <w:r>
              <w:rPr>
                <w:rFonts w:ascii="Times New Roman" w:hAnsi="Times New Roman"/>
                <w:b/>
                <w:sz w:val="24"/>
                <w:szCs w:val="24"/>
              </w:rPr>
              <w:t>MOTION TO DISMISS</w:t>
            </w:r>
          </w:p>
          <w:p w:rsidR="004E43BE" w:rsidRPr="0008736C" w:rsidRDefault="004E43BE" w:rsidP="004E43BE">
            <w:pPr>
              <w:pStyle w:val="SingleSpacing"/>
              <w:spacing w:line="240" w:lineRule="exact"/>
              <w:rPr>
                <w:rFonts w:ascii="Times New Roman" w:hAnsi="Times New Roman"/>
                <w:sz w:val="24"/>
                <w:szCs w:val="24"/>
              </w:rPr>
            </w:pPr>
          </w:p>
          <w:p w:rsidR="004E43BE" w:rsidRPr="0008736C" w:rsidRDefault="004E43BE" w:rsidP="004E43BE">
            <w:pPr>
              <w:pStyle w:val="SingleSpacing"/>
              <w:spacing w:line="240" w:lineRule="exact"/>
              <w:rPr>
                <w:rFonts w:ascii="Times New Roman" w:hAnsi="Times New Roman"/>
                <w:sz w:val="24"/>
                <w:szCs w:val="24"/>
              </w:rPr>
            </w:pPr>
          </w:p>
          <w:p w:rsidR="004E43BE" w:rsidRDefault="004E43BE" w:rsidP="004E43BE">
            <w:pPr>
              <w:pStyle w:val="SingleSpacing"/>
              <w:spacing w:line="240" w:lineRule="exact"/>
              <w:rPr>
                <w:rFonts w:ascii="Times New Roman" w:hAnsi="Times New Roman"/>
                <w:b/>
                <w:sz w:val="24"/>
                <w:szCs w:val="24"/>
              </w:rPr>
            </w:pPr>
          </w:p>
          <w:p w:rsidR="00047C8D" w:rsidRDefault="00047C8D" w:rsidP="004E43BE">
            <w:pPr>
              <w:pStyle w:val="SingleSpacing"/>
              <w:spacing w:line="240" w:lineRule="exact"/>
              <w:rPr>
                <w:rFonts w:ascii="Times New Roman" w:hAnsi="Times New Roman"/>
                <w:b/>
                <w:sz w:val="24"/>
                <w:szCs w:val="24"/>
              </w:rPr>
            </w:pPr>
          </w:p>
          <w:p w:rsidR="00047C8D" w:rsidRDefault="00047C8D" w:rsidP="004E43BE">
            <w:pPr>
              <w:pStyle w:val="SingleSpacing"/>
              <w:spacing w:line="240" w:lineRule="exact"/>
              <w:rPr>
                <w:rFonts w:ascii="Times New Roman" w:hAnsi="Times New Roman"/>
                <w:b/>
                <w:sz w:val="24"/>
                <w:szCs w:val="24"/>
              </w:rPr>
            </w:pPr>
          </w:p>
          <w:p w:rsidR="00047C8D" w:rsidRPr="00047C8D" w:rsidRDefault="009318C8" w:rsidP="00300A5B">
            <w:pPr>
              <w:tabs>
                <w:tab w:val="left" w:pos="1800"/>
              </w:tabs>
              <w:spacing w:line="240" w:lineRule="auto"/>
            </w:pPr>
            <w:r>
              <w:t>Judge</w:t>
            </w:r>
            <w:r w:rsidR="00047C8D" w:rsidRPr="00047C8D">
              <w:t>:</w:t>
            </w:r>
            <w:r>
              <w:t xml:space="preserve">             The Hon. Jeffrey S. White</w:t>
            </w:r>
          </w:p>
          <w:p w:rsidR="00047C8D" w:rsidRDefault="009318C8" w:rsidP="00300A5B">
            <w:pPr>
              <w:tabs>
                <w:tab w:val="left" w:pos="1800"/>
              </w:tabs>
              <w:spacing w:line="240" w:lineRule="auto"/>
            </w:pPr>
            <w:proofErr w:type="spellStart"/>
            <w:r>
              <w:t>Dept</w:t>
            </w:r>
            <w:proofErr w:type="spellEnd"/>
            <w:r w:rsidR="00047C8D" w:rsidRPr="00047C8D">
              <w:t>:</w:t>
            </w:r>
            <w:r>
              <w:t xml:space="preserve">               5, 2d Floor</w:t>
            </w:r>
            <w:r w:rsidR="00300A5B">
              <w:tab/>
            </w:r>
          </w:p>
          <w:p w:rsidR="00047C8D" w:rsidRDefault="00047C8D" w:rsidP="00300A5B">
            <w:pPr>
              <w:pStyle w:val="SingleSpacing"/>
              <w:tabs>
                <w:tab w:val="left" w:pos="1800"/>
              </w:tabs>
              <w:spacing w:line="240" w:lineRule="exact"/>
              <w:rPr>
                <w:rFonts w:ascii="Times New Roman" w:hAnsi="Times New Roman"/>
                <w:sz w:val="24"/>
                <w:szCs w:val="24"/>
              </w:rPr>
            </w:pPr>
            <w:r w:rsidRPr="00047C8D">
              <w:rPr>
                <w:rFonts w:ascii="Times New Roman" w:hAnsi="Times New Roman"/>
                <w:sz w:val="24"/>
                <w:szCs w:val="24"/>
              </w:rPr>
              <w:t>Trial Date:</w:t>
            </w:r>
            <w:r w:rsidR="009318C8">
              <w:rPr>
                <w:rFonts w:ascii="Times New Roman" w:hAnsi="Times New Roman"/>
                <w:sz w:val="24"/>
                <w:szCs w:val="24"/>
              </w:rPr>
              <w:t xml:space="preserve">      N</w:t>
            </w:r>
            <w:r w:rsidRPr="00047C8D">
              <w:rPr>
                <w:rFonts w:ascii="Times New Roman" w:hAnsi="Times New Roman"/>
                <w:sz w:val="24"/>
                <w:szCs w:val="24"/>
              </w:rPr>
              <w:t>o</w:t>
            </w:r>
            <w:r w:rsidR="00300A5B">
              <w:rPr>
                <w:rFonts w:ascii="Times New Roman" w:hAnsi="Times New Roman"/>
                <w:sz w:val="24"/>
                <w:szCs w:val="24"/>
              </w:rPr>
              <w:t>t set</w:t>
            </w:r>
          </w:p>
          <w:p w:rsidR="00300A5B" w:rsidRPr="0008736C" w:rsidRDefault="00300A5B" w:rsidP="009318C8">
            <w:pPr>
              <w:pStyle w:val="SingleSpacing"/>
              <w:tabs>
                <w:tab w:val="left" w:pos="1770"/>
              </w:tabs>
              <w:spacing w:line="240" w:lineRule="exact"/>
              <w:rPr>
                <w:rFonts w:ascii="Times New Roman" w:hAnsi="Times New Roman"/>
                <w:b/>
                <w:sz w:val="24"/>
                <w:szCs w:val="24"/>
              </w:rPr>
            </w:pPr>
            <w:r>
              <w:rPr>
                <w:rFonts w:ascii="Times New Roman" w:hAnsi="Times New Roman"/>
                <w:sz w:val="24"/>
                <w:szCs w:val="24"/>
              </w:rPr>
              <w:t>Action Filed:</w:t>
            </w:r>
            <w:r w:rsidR="009318C8">
              <w:rPr>
                <w:rFonts w:ascii="Times New Roman" w:hAnsi="Times New Roman"/>
                <w:sz w:val="24"/>
                <w:szCs w:val="24"/>
              </w:rPr>
              <w:t xml:space="preserve">   March 4, 2015</w:t>
            </w:r>
          </w:p>
        </w:tc>
      </w:tr>
    </w:tbl>
    <w:p w:rsidR="007B79D9" w:rsidRDefault="007B79D9" w:rsidP="008C103E">
      <w:pPr>
        <w:rPr>
          <w:rStyle w:val="Strong"/>
        </w:rPr>
      </w:pPr>
    </w:p>
    <w:p w:rsidR="00505E77" w:rsidRDefault="00505E77" w:rsidP="008C103E">
      <w:pPr>
        <w:spacing w:line="480" w:lineRule="exact"/>
        <w:jc w:val="both"/>
        <w:sectPr w:rsidR="00505E77" w:rsidSect="004E43BE">
          <w:headerReference w:type="default" r:id="rId8"/>
          <w:footerReference w:type="default" r:id="rId9"/>
          <w:headerReference w:type="first" r:id="rId10"/>
          <w:footerReference w:type="first" r:id="rId11"/>
          <w:pgSz w:w="12240" w:h="15840" w:code="1"/>
          <w:pgMar w:top="1440" w:right="1440" w:bottom="720" w:left="1800" w:header="720" w:footer="360" w:gutter="0"/>
          <w:pgNumType w:fmt="numberInDash" w:start="1"/>
          <w:cols w:space="720"/>
          <w:docGrid w:linePitch="360"/>
        </w:sectPr>
      </w:pPr>
    </w:p>
    <w:p w:rsidR="008C103E" w:rsidRDefault="004E43BE" w:rsidP="008C103E">
      <w:pPr>
        <w:spacing w:line="480" w:lineRule="exact"/>
        <w:jc w:val="both"/>
      </w:pPr>
      <w:r>
        <w:lastRenderedPageBreak/>
        <w:tab/>
      </w:r>
    </w:p>
    <w:p w:rsidR="00DF06FE" w:rsidRPr="0053465D" w:rsidRDefault="00DF06FE" w:rsidP="00DF06FE">
      <w:pPr>
        <w:spacing w:line="480" w:lineRule="exact"/>
        <w:jc w:val="center"/>
      </w:pPr>
      <w:r w:rsidRPr="0053465D">
        <w:rPr>
          <w:b/>
        </w:rPr>
        <w:t>TABLE OF CONTENTS</w:t>
      </w:r>
    </w:p>
    <w:p w:rsidR="00DF06FE" w:rsidRPr="0053465D" w:rsidRDefault="00DF06FE" w:rsidP="00DF06FE">
      <w:pPr>
        <w:tabs>
          <w:tab w:val="left" w:leader="dot" w:pos="8640"/>
        </w:tabs>
        <w:jc w:val="right"/>
        <w:rPr>
          <w:b/>
        </w:rPr>
      </w:pPr>
      <w:r w:rsidRPr="0053465D">
        <w:rPr>
          <w:b/>
        </w:rPr>
        <w:t>Pages</w:t>
      </w:r>
    </w:p>
    <w:p w:rsidR="00DF06FE" w:rsidRPr="0053465D" w:rsidRDefault="00DF06FE" w:rsidP="00DF06FE">
      <w:pPr>
        <w:tabs>
          <w:tab w:val="left" w:leader="dot" w:pos="8640"/>
        </w:tabs>
      </w:pPr>
    </w:p>
    <w:p w:rsidR="00DF06FE" w:rsidRPr="0053465D" w:rsidRDefault="00DF06FE" w:rsidP="00DF06FE">
      <w:pPr>
        <w:tabs>
          <w:tab w:val="left" w:leader="dot" w:pos="8640"/>
        </w:tabs>
      </w:pPr>
      <w:r w:rsidRPr="0053465D">
        <w:t xml:space="preserve">TABLE OF CONTENTS </w:t>
      </w:r>
      <w:r w:rsidRPr="0053465D">
        <w:tab/>
        <w:t>i</w:t>
      </w:r>
    </w:p>
    <w:p w:rsidR="00DF06FE" w:rsidRPr="0053465D" w:rsidRDefault="00DF06FE" w:rsidP="00DF06FE">
      <w:pPr>
        <w:tabs>
          <w:tab w:val="left" w:leader="dot" w:pos="8640"/>
        </w:tabs>
      </w:pPr>
    </w:p>
    <w:p w:rsidR="00DF06FE" w:rsidRPr="0053465D" w:rsidRDefault="00DF06FE" w:rsidP="002E5617">
      <w:pPr>
        <w:tabs>
          <w:tab w:val="left" w:leader="dot" w:pos="8640"/>
        </w:tabs>
        <w:ind w:right="-360"/>
      </w:pPr>
      <w:r w:rsidRPr="0053465D">
        <w:t>TABLE OF AUTHORITIES</w:t>
      </w:r>
      <w:r w:rsidRPr="0053465D">
        <w:tab/>
        <w:t>ii</w:t>
      </w:r>
      <w:r w:rsidR="002E5617">
        <w:t>-iii</w:t>
      </w:r>
    </w:p>
    <w:p w:rsidR="00DF06FE" w:rsidRPr="0053465D" w:rsidRDefault="00DF06FE" w:rsidP="00DF06FE">
      <w:pPr>
        <w:tabs>
          <w:tab w:val="left" w:leader="dot" w:pos="8640"/>
        </w:tabs>
      </w:pPr>
    </w:p>
    <w:p w:rsidR="00DF06FE" w:rsidRDefault="00DF06FE" w:rsidP="00DF06FE">
      <w:pPr>
        <w:tabs>
          <w:tab w:val="left" w:leader="dot" w:pos="8640"/>
        </w:tabs>
      </w:pPr>
      <w:r w:rsidRPr="0053465D">
        <w:t>INTRODUCTION</w:t>
      </w:r>
      <w:r w:rsidR="00823035">
        <w:t>/SUMMARY OF THE ARGUMENT</w:t>
      </w:r>
      <w:r w:rsidRPr="0053465D">
        <w:tab/>
        <w:t>1</w:t>
      </w:r>
    </w:p>
    <w:p w:rsidR="00823035" w:rsidRDefault="00823035" w:rsidP="00DF06FE">
      <w:pPr>
        <w:tabs>
          <w:tab w:val="left" w:leader="dot" w:pos="8640"/>
        </w:tabs>
      </w:pPr>
    </w:p>
    <w:p w:rsidR="00823035" w:rsidRDefault="00823035" w:rsidP="00823035">
      <w:pPr>
        <w:tabs>
          <w:tab w:val="left" w:leader="dot" w:pos="8640"/>
        </w:tabs>
        <w:ind w:firstLine="720"/>
      </w:pPr>
      <w:r>
        <w:t>I</w:t>
      </w:r>
      <w:r w:rsidRPr="0053465D">
        <w:t xml:space="preserve">.  </w:t>
      </w:r>
      <w:r>
        <w:rPr>
          <w:i/>
        </w:rPr>
        <w:t>Obergefell</w:t>
      </w:r>
      <w:r>
        <w:t xml:space="preserve"> confirms that the Due Process Clause prevents the State</w:t>
      </w:r>
    </w:p>
    <w:p w:rsidR="00823035" w:rsidRDefault="00823035" w:rsidP="00823035">
      <w:pPr>
        <w:tabs>
          <w:tab w:val="left" w:leader="dot" w:pos="8640"/>
        </w:tabs>
        <w:ind w:left="1080" w:hanging="360"/>
      </w:pPr>
      <w:r w:rsidRPr="0053465D">
        <w:tab/>
      </w:r>
      <w:r>
        <w:t>from intruding upon adults as they decide how to conduct their private,</w:t>
      </w:r>
    </w:p>
    <w:p w:rsidR="00823035" w:rsidRDefault="00823035" w:rsidP="00823035">
      <w:pPr>
        <w:tabs>
          <w:tab w:val="left" w:leader="dot" w:pos="8640"/>
        </w:tabs>
        <w:ind w:left="1080" w:hanging="360"/>
      </w:pPr>
      <w:r>
        <w:tab/>
      </w:r>
      <w:proofErr w:type="gramStart"/>
      <w:r>
        <w:t>sexual</w:t>
      </w:r>
      <w:proofErr w:type="gramEnd"/>
      <w:r>
        <w:t xml:space="preserve"> lives</w:t>
      </w:r>
      <w:r>
        <w:tab/>
      </w:r>
      <w:r w:rsidR="00B70742">
        <w:t>2</w:t>
      </w:r>
    </w:p>
    <w:p w:rsidR="00823035" w:rsidRDefault="00823035" w:rsidP="00823035">
      <w:pPr>
        <w:tabs>
          <w:tab w:val="left" w:leader="dot" w:pos="8640"/>
        </w:tabs>
        <w:ind w:left="1080" w:hanging="360"/>
      </w:pPr>
    </w:p>
    <w:p w:rsidR="00823035" w:rsidRDefault="00823035" w:rsidP="00823035">
      <w:pPr>
        <w:tabs>
          <w:tab w:val="left" w:leader="dot" w:pos="8640"/>
        </w:tabs>
        <w:ind w:left="1080" w:hanging="360"/>
      </w:pPr>
      <w:r>
        <w:t>II.</w:t>
      </w:r>
      <w:r>
        <w:tab/>
        <w:t xml:space="preserve">Substantive Due Process Prior to </w:t>
      </w:r>
      <w:r>
        <w:rPr>
          <w:i/>
        </w:rPr>
        <w:t>Obergefell</w:t>
      </w:r>
      <w:r w:rsidR="0012703D">
        <w:tab/>
        <w:t>2</w:t>
      </w:r>
    </w:p>
    <w:p w:rsidR="00823035" w:rsidRDefault="00823035" w:rsidP="00823035">
      <w:pPr>
        <w:tabs>
          <w:tab w:val="left" w:leader="dot" w:pos="8640"/>
        </w:tabs>
        <w:ind w:left="1080" w:hanging="360"/>
      </w:pPr>
    </w:p>
    <w:p w:rsidR="00823035" w:rsidRDefault="00823035" w:rsidP="00823035">
      <w:pPr>
        <w:tabs>
          <w:tab w:val="left" w:pos="1440"/>
          <w:tab w:val="left" w:leader="dot" w:pos="8640"/>
        </w:tabs>
        <w:ind w:firstLine="1080"/>
      </w:pPr>
      <w:r>
        <w:t xml:space="preserve">A.  The </w:t>
      </w:r>
      <w:r>
        <w:rPr>
          <w:i/>
        </w:rPr>
        <w:t>Lawrence</w:t>
      </w:r>
      <w:r>
        <w:t xml:space="preserve"> Court’s substantive due process analysis</w:t>
      </w:r>
      <w:r w:rsidR="00B70742">
        <w:t>.</w:t>
      </w:r>
      <w:r w:rsidR="00B70742">
        <w:tab/>
        <w:t>3</w:t>
      </w:r>
    </w:p>
    <w:p w:rsidR="00823035" w:rsidRDefault="00823035" w:rsidP="00823035">
      <w:pPr>
        <w:tabs>
          <w:tab w:val="left" w:pos="1440"/>
          <w:tab w:val="left" w:leader="dot" w:pos="8640"/>
        </w:tabs>
        <w:ind w:firstLine="1080"/>
      </w:pPr>
    </w:p>
    <w:p w:rsidR="00823035" w:rsidRDefault="00823035" w:rsidP="00823035">
      <w:pPr>
        <w:tabs>
          <w:tab w:val="left" w:pos="1440"/>
          <w:tab w:val="left" w:leader="dot" w:pos="8640"/>
        </w:tabs>
        <w:ind w:firstLine="1080"/>
      </w:pPr>
      <w:r>
        <w:t>B.</w:t>
      </w:r>
      <w:r>
        <w:tab/>
        <w:t xml:space="preserve">The </w:t>
      </w:r>
      <w:r>
        <w:rPr>
          <w:i/>
        </w:rPr>
        <w:t>Glucksberg</w:t>
      </w:r>
      <w:r>
        <w:t xml:space="preserve"> Court’s su</w:t>
      </w:r>
      <w:r w:rsidR="0012703D">
        <w:t>bstantive due process analysis</w:t>
      </w:r>
      <w:r w:rsidR="0012703D">
        <w:tab/>
        <w:t>3</w:t>
      </w:r>
    </w:p>
    <w:p w:rsidR="00823035" w:rsidRDefault="00823035" w:rsidP="00823035">
      <w:pPr>
        <w:tabs>
          <w:tab w:val="left" w:pos="1440"/>
          <w:tab w:val="left" w:leader="dot" w:pos="8640"/>
        </w:tabs>
        <w:ind w:firstLine="1080"/>
      </w:pPr>
    </w:p>
    <w:p w:rsidR="00823035" w:rsidRDefault="00823035" w:rsidP="00823035">
      <w:pPr>
        <w:tabs>
          <w:tab w:val="left" w:pos="1440"/>
          <w:tab w:val="left" w:leader="dot" w:pos="8640"/>
        </w:tabs>
        <w:ind w:firstLine="1080"/>
      </w:pPr>
      <w:r>
        <w:t>C.</w:t>
      </w:r>
      <w:r>
        <w:tab/>
      </w:r>
      <w:r>
        <w:rPr>
          <w:i/>
        </w:rPr>
        <w:t>Obergefell</w:t>
      </w:r>
      <w:r>
        <w:t xml:space="preserve"> resolves the ambiguity and demonstrates that this Court</w:t>
      </w:r>
    </w:p>
    <w:p w:rsidR="00823035" w:rsidRDefault="00823035" w:rsidP="00823035">
      <w:pPr>
        <w:tabs>
          <w:tab w:val="left" w:pos="1440"/>
          <w:tab w:val="left" w:leader="dot" w:pos="8640"/>
        </w:tabs>
        <w:ind w:firstLine="1080"/>
      </w:pPr>
      <w:r>
        <w:tab/>
        <w:t xml:space="preserve">should follow </w:t>
      </w:r>
      <w:r>
        <w:rPr>
          <w:i/>
        </w:rPr>
        <w:t>Obergefell</w:t>
      </w:r>
      <w:r>
        <w:t xml:space="preserve">, </w:t>
      </w:r>
      <w:r>
        <w:rPr>
          <w:i/>
        </w:rPr>
        <w:t>Lawrence</w:t>
      </w:r>
      <w:r>
        <w:t xml:space="preserve">, and </w:t>
      </w:r>
      <w:r>
        <w:rPr>
          <w:i/>
        </w:rPr>
        <w:t>Casey</w:t>
      </w:r>
      <w:r>
        <w:t xml:space="preserve"> as opposed to</w:t>
      </w:r>
    </w:p>
    <w:p w:rsidR="00823035" w:rsidRDefault="00823035" w:rsidP="00823035">
      <w:pPr>
        <w:tabs>
          <w:tab w:val="left" w:pos="1440"/>
          <w:tab w:val="left" w:leader="dot" w:pos="8640"/>
        </w:tabs>
        <w:ind w:firstLine="1080"/>
      </w:pPr>
      <w:r>
        <w:tab/>
      </w:r>
      <w:r>
        <w:rPr>
          <w:i/>
        </w:rPr>
        <w:t>Glucksberg</w:t>
      </w:r>
      <w:r w:rsidR="0012703D">
        <w:tab/>
        <w:t>4</w:t>
      </w:r>
    </w:p>
    <w:p w:rsidR="00823035" w:rsidRDefault="00823035" w:rsidP="00823035">
      <w:pPr>
        <w:tabs>
          <w:tab w:val="left" w:leader="dot" w:pos="8640"/>
        </w:tabs>
        <w:ind w:left="1080" w:hanging="360"/>
      </w:pPr>
    </w:p>
    <w:p w:rsidR="00823035" w:rsidRDefault="00823035" w:rsidP="00823035">
      <w:pPr>
        <w:tabs>
          <w:tab w:val="left" w:leader="dot" w:pos="8640"/>
        </w:tabs>
        <w:ind w:left="1080" w:hanging="360"/>
      </w:pPr>
      <w:r>
        <w:t>III.</w:t>
      </w:r>
      <w:r>
        <w:tab/>
        <w:t xml:space="preserve">Under </w:t>
      </w:r>
      <w:r>
        <w:rPr>
          <w:i/>
        </w:rPr>
        <w:t>Obergefell</w:t>
      </w:r>
      <w:r>
        <w:t>, plaintiffs need not rely upon the democratic process</w:t>
      </w:r>
    </w:p>
    <w:p w:rsidR="00823035" w:rsidRDefault="00823035" w:rsidP="00823035">
      <w:pPr>
        <w:tabs>
          <w:tab w:val="left" w:leader="dot" w:pos="8640"/>
        </w:tabs>
        <w:ind w:left="1080" w:hanging="360"/>
      </w:pPr>
      <w:r>
        <w:tab/>
      </w:r>
      <w:proofErr w:type="gramStart"/>
      <w:r>
        <w:t>to</w:t>
      </w:r>
      <w:proofErr w:type="gramEnd"/>
      <w:r>
        <w:t xml:space="preserve"> protect </w:t>
      </w:r>
      <w:r w:rsidR="00B70742">
        <w:t>their constitutional liberties</w:t>
      </w:r>
      <w:r w:rsidR="00B70742">
        <w:tab/>
        <w:t>7</w:t>
      </w:r>
    </w:p>
    <w:p w:rsidR="0012703D" w:rsidRDefault="0012703D" w:rsidP="00823035">
      <w:pPr>
        <w:tabs>
          <w:tab w:val="left" w:leader="dot" w:pos="8640"/>
        </w:tabs>
        <w:ind w:left="1080" w:hanging="360"/>
      </w:pPr>
    </w:p>
    <w:p w:rsidR="00823035" w:rsidRDefault="00823035" w:rsidP="00823035">
      <w:pPr>
        <w:tabs>
          <w:tab w:val="left" w:leader="dot" w:pos="8640"/>
        </w:tabs>
        <w:ind w:left="1080" w:hanging="360"/>
      </w:pPr>
      <w:r>
        <w:t>IV.</w:t>
      </w:r>
      <w:r>
        <w:tab/>
        <w:t>Conclusion</w:t>
      </w:r>
      <w:r w:rsidR="0012703D">
        <w:tab/>
      </w:r>
      <w:r w:rsidR="003D75F9">
        <w:t>8</w:t>
      </w:r>
    </w:p>
    <w:p w:rsidR="00823035" w:rsidRPr="00823035" w:rsidRDefault="00823035" w:rsidP="00823035">
      <w:pPr>
        <w:tabs>
          <w:tab w:val="left" w:leader="dot" w:pos="8640"/>
        </w:tabs>
        <w:ind w:left="1080" w:hanging="360"/>
      </w:pPr>
    </w:p>
    <w:p w:rsidR="00DF06FE" w:rsidRPr="0053465D" w:rsidRDefault="00DF06FE" w:rsidP="00DF06FE">
      <w:pPr>
        <w:spacing w:line="480" w:lineRule="exact"/>
        <w:jc w:val="center"/>
      </w:pPr>
      <w:r w:rsidRPr="0053465D">
        <w:rPr>
          <w:b/>
        </w:rPr>
        <w:br w:type="page"/>
      </w:r>
      <w:r w:rsidRPr="0053465D">
        <w:rPr>
          <w:b/>
        </w:rPr>
        <w:lastRenderedPageBreak/>
        <w:t>TABLE OF AUTHORITIES</w:t>
      </w:r>
    </w:p>
    <w:p w:rsidR="00DF06FE" w:rsidRPr="0053465D" w:rsidRDefault="00DF06FE" w:rsidP="00DF06FE">
      <w:pPr>
        <w:tabs>
          <w:tab w:val="left" w:leader="dot" w:pos="8640"/>
        </w:tabs>
      </w:pPr>
    </w:p>
    <w:p w:rsidR="00DF06FE" w:rsidRPr="0053465D" w:rsidRDefault="00DF06FE" w:rsidP="00DF06FE">
      <w:pPr>
        <w:tabs>
          <w:tab w:val="left" w:leader="dot" w:pos="8640"/>
        </w:tabs>
      </w:pPr>
    </w:p>
    <w:p w:rsidR="00DF06FE" w:rsidRPr="0053465D" w:rsidRDefault="00DF06FE" w:rsidP="00DF06FE">
      <w:r w:rsidRPr="0053465D">
        <w:rPr>
          <w:b/>
        </w:rPr>
        <w:t>CASES</w:t>
      </w:r>
      <w:r w:rsidRPr="0053465D">
        <w:rPr>
          <w:b/>
        </w:rPr>
        <w:tab/>
      </w:r>
      <w:r w:rsidRPr="0053465D">
        <w:rPr>
          <w:b/>
        </w:rPr>
        <w:tab/>
      </w:r>
      <w:r w:rsidRPr="0053465D">
        <w:rPr>
          <w:b/>
        </w:rPr>
        <w:tab/>
      </w:r>
      <w:r w:rsidRPr="0053465D">
        <w:rPr>
          <w:b/>
        </w:rPr>
        <w:tab/>
      </w:r>
      <w:r w:rsidRPr="0053465D">
        <w:rPr>
          <w:b/>
        </w:rPr>
        <w:tab/>
      </w:r>
      <w:r w:rsidRPr="0053465D">
        <w:rPr>
          <w:b/>
        </w:rPr>
        <w:tab/>
      </w:r>
      <w:r w:rsidRPr="0053465D">
        <w:rPr>
          <w:b/>
        </w:rPr>
        <w:tab/>
      </w:r>
      <w:r w:rsidRPr="0053465D">
        <w:rPr>
          <w:b/>
        </w:rPr>
        <w:tab/>
      </w:r>
      <w:r w:rsidRPr="0053465D">
        <w:rPr>
          <w:b/>
        </w:rPr>
        <w:tab/>
      </w:r>
      <w:r w:rsidRPr="0053465D">
        <w:rPr>
          <w:b/>
        </w:rPr>
        <w:tab/>
        <w:t xml:space="preserve">      Pages</w:t>
      </w:r>
    </w:p>
    <w:p w:rsidR="00DF06FE" w:rsidRPr="0053465D" w:rsidRDefault="00DF06FE" w:rsidP="00DF06FE">
      <w:pPr>
        <w:tabs>
          <w:tab w:val="left" w:leader="dot" w:pos="8640"/>
        </w:tabs>
      </w:pPr>
    </w:p>
    <w:p w:rsidR="0088502A" w:rsidRDefault="0088502A" w:rsidP="0088502A">
      <w:pPr>
        <w:tabs>
          <w:tab w:val="left" w:leader="dot" w:pos="8640"/>
        </w:tabs>
      </w:pPr>
      <w:r>
        <w:rPr>
          <w:i/>
        </w:rPr>
        <w:t>Carey v. Population Services, Int’l</w:t>
      </w:r>
      <w:r>
        <w:t>, 431 U.S</w:t>
      </w:r>
      <w:r w:rsidR="00650051">
        <w:t>.</w:t>
      </w:r>
      <w:r w:rsidR="002E5617">
        <w:t xml:space="preserve"> 678 (1971)</w:t>
      </w:r>
      <w:r w:rsidR="002E5617">
        <w:tab/>
        <w:t>7</w:t>
      </w:r>
    </w:p>
    <w:p w:rsidR="0088502A" w:rsidRDefault="0088502A" w:rsidP="00DF06FE">
      <w:pPr>
        <w:tabs>
          <w:tab w:val="left" w:leader="dot" w:pos="8640"/>
        </w:tabs>
        <w:rPr>
          <w:i/>
        </w:rPr>
      </w:pPr>
    </w:p>
    <w:p w:rsidR="00D46C4C" w:rsidRDefault="00D46C4C" w:rsidP="00DF06FE">
      <w:pPr>
        <w:tabs>
          <w:tab w:val="left" w:leader="dot" w:pos="8640"/>
        </w:tabs>
      </w:pPr>
      <w:r>
        <w:rPr>
          <w:i/>
        </w:rPr>
        <w:t>County of Sacramento v. Lewis</w:t>
      </w:r>
      <w:r w:rsidR="002E5617">
        <w:t>, 523 U.S. 833, 857 (1998)</w:t>
      </w:r>
      <w:r w:rsidR="002E5617">
        <w:tab/>
        <w:t>6</w:t>
      </w:r>
    </w:p>
    <w:p w:rsidR="00D46C4C" w:rsidRDefault="00D46C4C" w:rsidP="00DF06FE">
      <w:pPr>
        <w:tabs>
          <w:tab w:val="left" w:leader="dot" w:pos="8640"/>
        </w:tabs>
      </w:pPr>
    </w:p>
    <w:p w:rsidR="00D46C4C" w:rsidRDefault="00D46C4C" w:rsidP="00D46C4C">
      <w:pPr>
        <w:tabs>
          <w:tab w:val="left" w:leader="dot" w:pos="8640"/>
        </w:tabs>
      </w:pPr>
      <w:proofErr w:type="spellStart"/>
      <w:r>
        <w:rPr>
          <w:i/>
        </w:rPr>
        <w:t>DeBoer</w:t>
      </w:r>
      <w:proofErr w:type="spellEnd"/>
      <w:r>
        <w:rPr>
          <w:i/>
        </w:rPr>
        <w:t xml:space="preserve"> v. Snyder</w:t>
      </w:r>
      <w:r>
        <w:t>, 772</w:t>
      </w:r>
      <w:r w:rsidR="002E5617">
        <w:t xml:space="preserve"> F.3d 388, 421 (6th Cir. 2014)</w:t>
      </w:r>
      <w:r w:rsidR="002E5617">
        <w:tab/>
        <w:t>7</w:t>
      </w:r>
    </w:p>
    <w:p w:rsidR="00D46C4C" w:rsidRDefault="00D46C4C" w:rsidP="00DF06FE">
      <w:pPr>
        <w:tabs>
          <w:tab w:val="left" w:leader="dot" w:pos="8640"/>
        </w:tabs>
      </w:pPr>
    </w:p>
    <w:p w:rsidR="0088502A" w:rsidRDefault="0088502A" w:rsidP="00DF06FE">
      <w:pPr>
        <w:tabs>
          <w:tab w:val="left" w:leader="dot" w:pos="8640"/>
        </w:tabs>
      </w:pPr>
      <w:proofErr w:type="spellStart"/>
      <w:r>
        <w:rPr>
          <w:i/>
        </w:rPr>
        <w:t>Eisenstadt</w:t>
      </w:r>
      <w:proofErr w:type="spellEnd"/>
      <w:r>
        <w:rPr>
          <w:i/>
        </w:rPr>
        <w:t xml:space="preserve"> v. Baird</w:t>
      </w:r>
      <w:r w:rsidR="002E5617">
        <w:t>, 405 U.S. 438 (1972)</w:t>
      </w:r>
      <w:r w:rsidR="002E5617">
        <w:tab/>
        <w:t>7</w:t>
      </w:r>
    </w:p>
    <w:p w:rsidR="0088502A" w:rsidRDefault="0088502A" w:rsidP="00DF06FE">
      <w:pPr>
        <w:tabs>
          <w:tab w:val="left" w:leader="dot" w:pos="8640"/>
        </w:tabs>
      </w:pPr>
    </w:p>
    <w:p w:rsidR="0088502A" w:rsidRDefault="0088502A" w:rsidP="00DF06FE">
      <w:pPr>
        <w:tabs>
          <w:tab w:val="left" w:leader="dot" w:pos="8640"/>
        </w:tabs>
      </w:pPr>
      <w:r>
        <w:rPr>
          <w:i/>
        </w:rPr>
        <w:t>Griswold v. Connecticut</w:t>
      </w:r>
      <w:r w:rsidR="002E5617">
        <w:t>, 381 U.S. 479 (1965)</w:t>
      </w:r>
      <w:r w:rsidR="002E5617">
        <w:tab/>
        <w:t>7</w:t>
      </w:r>
    </w:p>
    <w:p w:rsidR="00331EC6" w:rsidRDefault="00331EC6" w:rsidP="00DF06FE">
      <w:pPr>
        <w:tabs>
          <w:tab w:val="left" w:leader="dot" w:pos="8640"/>
        </w:tabs>
      </w:pPr>
    </w:p>
    <w:p w:rsidR="00D46C4C" w:rsidRDefault="00D46C4C" w:rsidP="00331EC6">
      <w:pPr>
        <w:tabs>
          <w:tab w:val="left" w:leader="dot" w:pos="8640"/>
        </w:tabs>
        <w:ind w:right="-360"/>
      </w:pPr>
      <w:r>
        <w:rPr>
          <w:i/>
        </w:rPr>
        <w:t>Lawrence v. Texas</w:t>
      </w:r>
      <w:r>
        <w:t>, 539 U.S. 558 (2003)</w:t>
      </w:r>
      <w:r w:rsidR="00331EC6">
        <w:tab/>
      </w:r>
      <w:r w:rsidR="0006509A">
        <w:t>passim</w:t>
      </w:r>
    </w:p>
    <w:p w:rsidR="00D46C4C" w:rsidRDefault="00D46C4C" w:rsidP="00DF06FE">
      <w:pPr>
        <w:tabs>
          <w:tab w:val="left" w:leader="dot" w:pos="8640"/>
        </w:tabs>
      </w:pPr>
    </w:p>
    <w:p w:rsidR="00D46C4C" w:rsidRDefault="00D46C4C" w:rsidP="00331EC6">
      <w:pPr>
        <w:tabs>
          <w:tab w:val="left" w:leader="dot" w:pos="8640"/>
        </w:tabs>
        <w:ind w:right="-360"/>
      </w:pPr>
      <w:r>
        <w:rPr>
          <w:i/>
        </w:rPr>
        <w:t>Obergefell v. Hodges</w:t>
      </w:r>
      <w:r w:rsidR="0006509A">
        <w:t>, 135 S. Ct. 2584 (2015)</w:t>
      </w:r>
      <w:r w:rsidR="0006509A">
        <w:tab/>
        <w:t>passim</w:t>
      </w:r>
    </w:p>
    <w:p w:rsidR="00D46C4C" w:rsidRDefault="00D46C4C" w:rsidP="00DF06FE">
      <w:pPr>
        <w:tabs>
          <w:tab w:val="left" w:leader="dot" w:pos="8640"/>
        </w:tabs>
      </w:pPr>
    </w:p>
    <w:p w:rsidR="00D46C4C" w:rsidRDefault="00D46C4C" w:rsidP="00DF06FE">
      <w:pPr>
        <w:tabs>
          <w:tab w:val="left" w:leader="dot" w:pos="8640"/>
        </w:tabs>
      </w:pPr>
      <w:r>
        <w:rPr>
          <w:i/>
        </w:rPr>
        <w:t>Planned Parenthood of Southeastern Pennsylvania v. Casey</w:t>
      </w:r>
      <w:r w:rsidR="00B70742">
        <w:t>, 505 U.S. 833 (1992)</w:t>
      </w:r>
      <w:r w:rsidR="00B70742">
        <w:tab/>
        <w:t>3</w:t>
      </w:r>
    </w:p>
    <w:p w:rsidR="00D46C4C" w:rsidRDefault="00D46C4C" w:rsidP="00DF06FE">
      <w:pPr>
        <w:tabs>
          <w:tab w:val="left" w:leader="dot" w:pos="8640"/>
        </w:tabs>
      </w:pPr>
    </w:p>
    <w:p w:rsidR="00D46C4C" w:rsidRDefault="0088502A" w:rsidP="00DF06FE">
      <w:pPr>
        <w:tabs>
          <w:tab w:val="left" w:leader="dot" w:pos="8640"/>
        </w:tabs>
      </w:pPr>
      <w:r>
        <w:rPr>
          <w:i/>
        </w:rPr>
        <w:t>Poe v. Ullman</w:t>
      </w:r>
      <w:r w:rsidR="0006509A">
        <w:t>, 367 U.S. 497 (1961)</w:t>
      </w:r>
      <w:r w:rsidR="002E5617">
        <w:tab/>
        <w:t>3</w:t>
      </w:r>
    </w:p>
    <w:p w:rsidR="0088502A" w:rsidRDefault="0088502A" w:rsidP="00DF06FE">
      <w:pPr>
        <w:tabs>
          <w:tab w:val="left" w:leader="dot" w:pos="8640"/>
        </w:tabs>
      </w:pPr>
    </w:p>
    <w:p w:rsidR="0088502A" w:rsidRDefault="0088502A" w:rsidP="00DF06FE">
      <w:pPr>
        <w:tabs>
          <w:tab w:val="left" w:leader="dot" w:pos="8640"/>
        </w:tabs>
      </w:pPr>
      <w:proofErr w:type="spellStart"/>
      <w:r>
        <w:rPr>
          <w:i/>
        </w:rPr>
        <w:t>Raich</w:t>
      </w:r>
      <w:proofErr w:type="spellEnd"/>
      <w:r>
        <w:rPr>
          <w:i/>
        </w:rPr>
        <w:t xml:space="preserve"> v. Gonzales</w:t>
      </w:r>
      <w:r>
        <w:t>, 500 F.3d 850</w:t>
      </w:r>
      <w:r w:rsidR="0006509A">
        <w:t xml:space="preserve"> (9th Cir. 2007)</w:t>
      </w:r>
      <w:r w:rsidR="002E5617">
        <w:tab/>
        <w:t>4</w:t>
      </w:r>
    </w:p>
    <w:p w:rsidR="0088502A" w:rsidRDefault="0088502A" w:rsidP="00DF06FE">
      <w:pPr>
        <w:tabs>
          <w:tab w:val="left" w:leader="dot" w:pos="8640"/>
        </w:tabs>
      </w:pPr>
    </w:p>
    <w:p w:rsidR="0088502A" w:rsidRDefault="0088502A" w:rsidP="00331EC6">
      <w:pPr>
        <w:tabs>
          <w:tab w:val="left" w:leader="dot" w:pos="8640"/>
        </w:tabs>
        <w:ind w:right="-360"/>
      </w:pPr>
      <w:r>
        <w:rPr>
          <w:i/>
        </w:rPr>
        <w:t>Washington v. Glucksberg</w:t>
      </w:r>
      <w:r w:rsidR="0006509A">
        <w:t>, 512 U.S. 701 (1997)</w:t>
      </w:r>
      <w:r w:rsidR="0006509A">
        <w:tab/>
        <w:t>passim</w:t>
      </w:r>
    </w:p>
    <w:p w:rsidR="0088502A" w:rsidRDefault="0088502A" w:rsidP="00DF06FE">
      <w:pPr>
        <w:tabs>
          <w:tab w:val="left" w:leader="dot" w:pos="8640"/>
        </w:tabs>
      </w:pPr>
    </w:p>
    <w:p w:rsidR="0088502A" w:rsidRDefault="0088502A" w:rsidP="00DF06FE">
      <w:pPr>
        <w:tabs>
          <w:tab w:val="left" w:leader="dot" w:pos="8640"/>
        </w:tabs>
      </w:pPr>
      <w:r>
        <w:rPr>
          <w:i/>
        </w:rPr>
        <w:t>Witt v. Dept. of Air Force</w:t>
      </w:r>
      <w:r w:rsidR="002E5617">
        <w:t>, 527 F.3d 806 (9th Cir. 2008)</w:t>
      </w:r>
      <w:r w:rsidR="002E5617">
        <w:tab/>
        <w:t>2</w:t>
      </w:r>
    </w:p>
    <w:p w:rsidR="0088502A" w:rsidRPr="0088502A" w:rsidRDefault="0088502A" w:rsidP="00DF06FE">
      <w:pPr>
        <w:tabs>
          <w:tab w:val="left" w:leader="dot" w:pos="8640"/>
        </w:tabs>
      </w:pPr>
    </w:p>
    <w:p w:rsidR="003B1061" w:rsidRDefault="003B1061" w:rsidP="00A90846">
      <w:pPr>
        <w:tabs>
          <w:tab w:val="left" w:leader="dot" w:pos="8640"/>
        </w:tabs>
      </w:pPr>
    </w:p>
    <w:p w:rsidR="003D75F9" w:rsidRDefault="003D75F9" w:rsidP="006D185C">
      <w:pPr>
        <w:tabs>
          <w:tab w:val="left" w:leader="dot" w:pos="8640"/>
        </w:tabs>
        <w:ind w:right="-360"/>
        <w:rPr>
          <w:b/>
        </w:rPr>
      </w:pPr>
    </w:p>
    <w:p w:rsidR="006D185C" w:rsidRPr="0053465D" w:rsidRDefault="006D185C" w:rsidP="006D185C">
      <w:pPr>
        <w:tabs>
          <w:tab w:val="left" w:leader="dot" w:pos="8640"/>
        </w:tabs>
        <w:ind w:right="-360"/>
        <w:rPr>
          <w:b/>
        </w:rPr>
      </w:pPr>
      <w:r w:rsidRPr="0053465D">
        <w:rPr>
          <w:b/>
        </w:rPr>
        <w:t>CONSTITUTIONAL PROVISIONS</w:t>
      </w:r>
    </w:p>
    <w:p w:rsidR="006D185C" w:rsidRPr="0053465D" w:rsidRDefault="006D185C" w:rsidP="006D185C">
      <w:pPr>
        <w:tabs>
          <w:tab w:val="left" w:leader="dot" w:pos="8640"/>
        </w:tabs>
        <w:ind w:right="-360"/>
      </w:pPr>
    </w:p>
    <w:p w:rsidR="006D185C" w:rsidRDefault="006D185C" w:rsidP="006D185C">
      <w:pPr>
        <w:tabs>
          <w:tab w:val="left" w:leader="dot" w:pos="8640"/>
        </w:tabs>
        <w:ind w:right="-360"/>
      </w:pPr>
      <w:r>
        <w:t>United States Constitution</w:t>
      </w:r>
    </w:p>
    <w:p w:rsidR="006D185C" w:rsidRDefault="006D185C" w:rsidP="006D185C">
      <w:pPr>
        <w:tabs>
          <w:tab w:val="left" w:leader="dot" w:pos="8640"/>
        </w:tabs>
        <w:ind w:right="-360"/>
      </w:pPr>
    </w:p>
    <w:p w:rsidR="006D185C" w:rsidRPr="0053465D" w:rsidRDefault="006D185C" w:rsidP="006D185C">
      <w:pPr>
        <w:tabs>
          <w:tab w:val="left" w:leader="dot" w:pos="8640"/>
        </w:tabs>
        <w:ind w:right="-360"/>
      </w:pPr>
      <w:r>
        <w:t xml:space="preserve">          Fourteenth Amendment</w:t>
      </w:r>
      <w:r>
        <w:tab/>
        <w:t>passim</w:t>
      </w:r>
    </w:p>
    <w:p w:rsidR="00DF06FE" w:rsidRPr="0053465D" w:rsidRDefault="00DF06FE" w:rsidP="00DF06FE">
      <w:pPr>
        <w:tabs>
          <w:tab w:val="left" w:leader="dot" w:pos="8640"/>
        </w:tabs>
      </w:pPr>
    </w:p>
    <w:p w:rsidR="00DF06FE" w:rsidRPr="0053465D" w:rsidRDefault="00DF06FE" w:rsidP="00DF06FE">
      <w:pPr>
        <w:rPr>
          <w:b/>
        </w:rPr>
      </w:pPr>
      <w:r w:rsidRPr="0053465D">
        <w:rPr>
          <w:b/>
        </w:rPr>
        <w:t>STATUTES</w:t>
      </w:r>
    </w:p>
    <w:p w:rsidR="00DF06FE" w:rsidRPr="0053465D" w:rsidRDefault="00DF06FE" w:rsidP="00DF06FE">
      <w:pPr>
        <w:tabs>
          <w:tab w:val="left" w:leader="dot" w:pos="8640"/>
        </w:tabs>
      </w:pPr>
    </w:p>
    <w:p w:rsidR="00DF06FE" w:rsidRPr="0053465D" w:rsidRDefault="006D185C" w:rsidP="00DF06FE">
      <w:pPr>
        <w:tabs>
          <w:tab w:val="left" w:leader="dot" w:pos="8640"/>
        </w:tabs>
      </w:pPr>
      <w:r>
        <w:t>Cal. Pen. Code § 647(B)</w:t>
      </w:r>
      <w:r w:rsidR="002E5617">
        <w:tab/>
        <w:t>3</w:t>
      </w:r>
      <w:r w:rsidR="00B70742">
        <w:t>, 8</w:t>
      </w:r>
    </w:p>
    <w:p w:rsidR="00DF06FE" w:rsidRPr="0053465D" w:rsidRDefault="00DF06FE" w:rsidP="00DF06FE">
      <w:pPr>
        <w:tabs>
          <w:tab w:val="left" w:leader="dot" w:pos="8640"/>
        </w:tabs>
      </w:pPr>
    </w:p>
    <w:p w:rsidR="00DF06FE" w:rsidRDefault="00DF06FE" w:rsidP="00DF06FE">
      <w:pPr>
        <w:rPr>
          <w:b/>
        </w:rPr>
      </w:pPr>
      <w:r w:rsidRPr="0053465D">
        <w:rPr>
          <w:b/>
        </w:rPr>
        <w:t>OTHER AUTHORITIES</w:t>
      </w:r>
    </w:p>
    <w:p w:rsidR="00B70742" w:rsidRDefault="00B70742" w:rsidP="00DF06FE">
      <w:pPr>
        <w:rPr>
          <w:b/>
        </w:rPr>
      </w:pPr>
    </w:p>
    <w:p w:rsidR="00B70742" w:rsidRDefault="00B70742" w:rsidP="00B70742">
      <w:pPr>
        <w:tabs>
          <w:tab w:val="left" w:leader="dot" w:pos="8640"/>
        </w:tabs>
        <w:contextualSpacing/>
      </w:pPr>
      <w:r>
        <w:t xml:space="preserve">Brief for the Respondents, 2015 WL 1384104, </w:t>
      </w:r>
      <w:proofErr w:type="spellStart"/>
      <w:r w:rsidRPr="00E3122B">
        <w:rPr>
          <w:i/>
        </w:rPr>
        <w:t>DeBoer</w:t>
      </w:r>
      <w:proofErr w:type="spellEnd"/>
      <w:r w:rsidRPr="00E3122B">
        <w:rPr>
          <w:i/>
        </w:rPr>
        <w:t xml:space="preserve"> v. Snyder</w:t>
      </w:r>
      <w:r>
        <w:t>, 135 S. Ct. 2584</w:t>
      </w:r>
    </w:p>
    <w:p w:rsidR="00B70742" w:rsidRDefault="00B70742" w:rsidP="00B70742">
      <w:pPr>
        <w:tabs>
          <w:tab w:val="left" w:leader="dot" w:pos="8640"/>
        </w:tabs>
        <w:contextualSpacing/>
      </w:pPr>
      <w:r>
        <w:t>(No. 14-571)</w:t>
      </w:r>
      <w:r>
        <w:tab/>
        <w:t>5</w:t>
      </w:r>
    </w:p>
    <w:p w:rsidR="00DF06FE" w:rsidRDefault="00DF06FE" w:rsidP="00DF06FE">
      <w:pPr>
        <w:tabs>
          <w:tab w:val="left" w:leader="dot" w:pos="8640"/>
        </w:tabs>
      </w:pPr>
    </w:p>
    <w:p w:rsidR="00B70742" w:rsidRDefault="00B70742" w:rsidP="00331EC6">
      <w:pPr>
        <w:tabs>
          <w:tab w:val="left" w:leader="dot" w:pos="8640"/>
        </w:tabs>
        <w:contextualSpacing/>
      </w:pPr>
    </w:p>
    <w:p w:rsidR="00331EC6" w:rsidRDefault="00331EC6" w:rsidP="00331EC6">
      <w:pPr>
        <w:tabs>
          <w:tab w:val="left" w:leader="dot" w:pos="8640"/>
        </w:tabs>
        <w:contextualSpacing/>
      </w:pPr>
      <w:r>
        <w:t xml:space="preserve">Brief of the Commonwealth of Virginia as Amicus Curiae in Support of Petitioners, </w:t>
      </w:r>
    </w:p>
    <w:p w:rsidR="00331EC6" w:rsidRPr="0053465D" w:rsidRDefault="00331EC6" w:rsidP="00331EC6">
      <w:pPr>
        <w:tabs>
          <w:tab w:val="left" w:leader="dot" w:pos="8640"/>
        </w:tabs>
        <w:contextualSpacing/>
      </w:pPr>
      <w:r>
        <w:t xml:space="preserve">2015 WL 1022690, </w:t>
      </w:r>
      <w:r w:rsidRPr="005F500A">
        <w:rPr>
          <w:i/>
        </w:rPr>
        <w:t>Obergefell v. Hodges</w:t>
      </w:r>
      <w:r>
        <w:t>, 135 S. Ct.  2584 (No. 14-571)</w:t>
      </w:r>
      <w:r w:rsidR="002E5617">
        <w:tab/>
        <w:t>3</w:t>
      </w:r>
    </w:p>
    <w:p w:rsidR="00331EC6" w:rsidRDefault="00331EC6" w:rsidP="006D185C">
      <w:pPr>
        <w:tabs>
          <w:tab w:val="left" w:leader="dot" w:pos="8640"/>
        </w:tabs>
        <w:contextualSpacing/>
      </w:pPr>
    </w:p>
    <w:p w:rsidR="00B70742" w:rsidRDefault="00B70742" w:rsidP="00331EC6">
      <w:pPr>
        <w:tabs>
          <w:tab w:val="left" w:leader="dot" w:pos="8640"/>
        </w:tabs>
        <w:contextualSpacing/>
      </w:pPr>
    </w:p>
    <w:p w:rsidR="00B70742" w:rsidRDefault="00B70742" w:rsidP="00331EC6">
      <w:pPr>
        <w:tabs>
          <w:tab w:val="left" w:leader="dot" w:pos="8640"/>
        </w:tabs>
        <w:contextualSpacing/>
      </w:pPr>
    </w:p>
    <w:p w:rsidR="00B70742" w:rsidRDefault="00B70742" w:rsidP="00331EC6">
      <w:pPr>
        <w:tabs>
          <w:tab w:val="left" w:leader="dot" w:pos="8640"/>
        </w:tabs>
        <w:contextualSpacing/>
      </w:pPr>
    </w:p>
    <w:p w:rsidR="00B70742" w:rsidRDefault="00B70742" w:rsidP="00331EC6">
      <w:pPr>
        <w:tabs>
          <w:tab w:val="left" w:leader="dot" w:pos="8640"/>
        </w:tabs>
        <w:contextualSpacing/>
      </w:pPr>
    </w:p>
    <w:p w:rsidR="00331EC6" w:rsidRDefault="00331EC6" w:rsidP="00331EC6">
      <w:pPr>
        <w:tabs>
          <w:tab w:val="left" w:leader="dot" w:pos="8640"/>
        </w:tabs>
        <w:contextualSpacing/>
      </w:pPr>
      <w:r>
        <w:lastRenderedPageBreak/>
        <w:t>Brief of Massachusetts, California, Connecticut, Delaware, the District of Columbia,</w:t>
      </w:r>
    </w:p>
    <w:p w:rsidR="00331EC6" w:rsidRDefault="00331EC6" w:rsidP="00331EC6">
      <w:pPr>
        <w:tabs>
          <w:tab w:val="left" w:leader="dot" w:pos="8640"/>
        </w:tabs>
        <w:contextualSpacing/>
      </w:pPr>
      <w:r>
        <w:t>Illinois, Iowa, Maine, Maryland, New Hampshire, New Mexico, New York, Oregon, Pennsylvania, Rhode Island, Vermont, And Washington as Amicus Curiae in Support</w:t>
      </w:r>
    </w:p>
    <w:p w:rsidR="00331EC6" w:rsidRDefault="00331EC6" w:rsidP="00331EC6">
      <w:pPr>
        <w:tabs>
          <w:tab w:val="left" w:leader="dot" w:pos="8640"/>
        </w:tabs>
        <w:contextualSpacing/>
      </w:pPr>
      <w:proofErr w:type="gramStart"/>
      <w:r>
        <w:t>of</w:t>
      </w:r>
      <w:proofErr w:type="gramEnd"/>
      <w:r>
        <w:t xml:space="preserve"> Petitioners, 2015 WL 1048440, </w:t>
      </w:r>
      <w:r w:rsidRPr="005F500A">
        <w:rPr>
          <w:i/>
        </w:rPr>
        <w:t>Obergefell v. Hodges</w:t>
      </w:r>
      <w:r>
        <w:t>, 135 S. Ct.  2584 (No. 14-571)</w:t>
      </w:r>
      <w:r w:rsidR="002E5617">
        <w:tab/>
        <w:t>4</w:t>
      </w:r>
    </w:p>
    <w:p w:rsidR="00331EC6" w:rsidRDefault="00331EC6" w:rsidP="00331EC6">
      <w:pPr>
        <w:tabs>
          <w:tab w:val="left" w:leader="dot" w:pos="8640"/>
        </w:tabs>
        <w:contextualSpacing/>
      </w:pPr>
    </w:p>
    <w:p w:rsidR="00B70742" w:rsidRDefault="00B70742" w:rsidP="00331EC6">
      <w:pPr>
        <w:tabs>
          <w:tab w:val="left" w:leader="dot" w:pos="8640"/>
        </w:tabs>
        <w:contextualSpacing/>
      </w:pPr>
    </w:p>
    <w:p w:rsidR="00B70742" w:rsidRDefault="00B70742" w:rsidP="00B70742">
      <w:pPr>
        <w:tabs>
          <w:tab w:val="left" w:leader="dot" w:pos="8640"/>
        </w:tabs>
        <w:contextualSpacing/>
        <w:rPr>
          <w:i/>
        </w:rPr>
      </w:pPr>
      <w:r>
        <w:t xml:space="preserve">David A.J. Richards, </w:t>
      </w:r>
      <w:r>
        <w:rPr>
          <w:i/>
        </w:rPr>
        <w:t>Commercial Sex and The Rights of the Person:  A Moral</w:t>
      </w:r>
    </w:p>
    <w:p w:rsidR="00B70742" w:rsidRDefault="00B70742" w:rsidP="00B70742">
      <w:pPr>
        <w:tabs>
          <w:tab w:val="left" w:leader="dot" w:pos="8640"/>
        </w:tabs>
        <w:contextualSpacing/>
      </w:pPr>
      <w:proofErr w:type="gramStart"/>
      <w:r>
        <w:rPr>
          <w:i/>
        </w:rPr>
        <w:t>Argument for the Decriminalization of Prostitution</w:t>
      </w:r>
      <w:r>
        <w:t xml:space="preserve">, 127 </w:t>
      </w:r>
      <w:r w:rsidRPr="00421DB9">
        <w:rPr>
          <w:smallCaps/>
        </w:rPr>
        <w:t>U. Pa.</w:t>
      </w:r>
      <w:proofErr w:type="gramEnd"/>
      <w:r w:rsidRPr="00421DB9">
        <w:rPr>
          <w:smallCaps/>
        </w:rPr>
        <w:t xml:space="preserve"> L. Rev.</w:t>
      </w:r>
      <w:r>
        <w:t xml:space="preserve"> 1195 (1979)</w:t>
      </w:r>
      <w:r>
        <w:tab/>
        <w:t>6</w:t>
      </w:r>
    </w:p>
    <w:p w:rsidR="002E5617" w:rsidRDefault="002E5617" w:rsidP="00331EC6">
      <w:pPr>
        <w:tabs>
          <w:tab w:val="left" w:leader="dot" w:pos="8640"/>
        </w:tabs>
        <w:contextualSpacing/>
      </w:pPr>
    </w:p>
    <w:p w:rsidR="00331EC6" w:rsidRDefault="00331EC6" w:rsidP="00331EC6">
      <w:pPr>
        <w:tabs>
          <w:tab w:val="left" w:leader="dot" w:pos="8640"/>
        </w:tabs>
        <w:contextualSpacing/>
      </w:pPr>
    </w:p>
    <w:p w:rsidR="00331EC6" w:rsidRPr="00061E28" w:rsidRDefault="00331EC6" w:rsidP="00331EC6">
      <w:pPr>
        <w:tabs>
          <w:tab w:val="left" w:leader="dot" w:pos="8640"/>
        </w:tabs>
        <w:contextualSpacing/>
        <w:rPr>
          <w:i/>
        </w:rPr>
      </w:pPr>
      <w:r w:rsidRPr="00061E28">
        <w:t xml:space="preserve">Doreen </w:t>
      </w:r>
      <w:proofErr w:type="spellStart"/>
      <w:r w:rsidRPr="00061E28">
        <w:t>Carvajal</w:t>
      </w:r>
      <w:proofErr w:type="spellEnd"/>
      <w:r w:rsidRPr="00061E28">
        <w:t xml:space="preserve">, </w:t>
      </w:r>
      <w:r w:rsidRPr="00061E28">
        <w:rPr>
          <w:i/>
        </w:rPr>
        <w:t xml:space="preserve">Amnesty International Votes for Policy Calling for </w:t>
      </w:r>
    </w:p>
    <w:p w:rsidR="00331EC6" w:rsidRDefault="00331EC6" w:rsidP="00331EC6">
      <w:pPr>
        <w:tabs>
          <w:tab w:val="left" w:leader="dot" w:pos="8640"/>
        </w:tabs>
        <w:contextualSpacing/>
      </w:pPr>
      <w:r w:rsidRPr="00061E28">
        <w:rPr>
          <w:i/>
        </w:rPr>
        <w:t>Decriminalization of Prostitution</w:t>
      </w:r>
      <w:r w:rsidRPr="00061E28">
        <w:t xml:space="preserve">, </w:t>
      </w:r>
      <w:r w:rsidRPr="00421DB9">
        <w:rPr>
          <w:smallCaps/>
        </w:rPr>
        <w:t>N.Y. Times</w:t>
      </w:r>
      <w:r w:rsidR="002E5617">
        <w:t>, Aug. 11, 2015</w:t>
      </w:r>
      <w:r w:rsidR="002E5617">
        <w:tab/>
        <w:t>6</w:t>
      </w:r>
    </w:p>
    <w:p w:rsidR="00331EC6" w:rsidRDefault="00331EC6" w:rsidP="00331EC6">
      <w:pPr>
        <w:tabs>
          <w:tab w:val="left" w:leader="dot" w:pos="8640"/>
        </w:tabs>
        <w:contextualSpacing/>
      </w:pPr>
    </w:p>
    <w:p w:rsidR="00331EC6" w:rsidRDefault="00331EC6" w:rsidP="00331EC6">
      <w:pPr>
        <w:tabs>
          <w:tab w:val="left" w:leader="dot" w:pos="8640"/>
        </w:tabs>
        <w:contextualSpacing/>
      </w:pPr>
    </w:p>
    <w:p w:rsidR="00B70742" w:rsidRDefault="00B70742" w:rsidP="00B70742">
      <w:pPr>
        <w:tabs>
          <w:tab w:val="left" w:leader="dot" w:pos="8640"/>
        </w:tabs>
        <w:contextualSpacing/>
        <w:rPr>
          <w:i/>
        </w:rPr>
      </w:pPr>
      <w:r>
        <w:t xml:space="preserve">Julie Pearl, </w:t>
      </w:r>
      <w:r>
        <w:rPr>
          <w:i/>
        </w:rPr>
        <w:t xml:space="preserve">The Highest Payment Customers:  Americas Cities and the Costs of </w:t>
      </w:r>
    </w:p>
    <w:p w:rsidR="00B70742" w:rsidRPr="003B1061" w:rsidRDefault="00B70742" w:rsidP="00B70742">
      <w:pPr>
        <w:tabs>
          <w:tab w:val="left" w:leader="dot" w:pos="8640"/>
        </w:tabs>
        <w:contextualSpacing/>
      </w:pPr>
      <w:r>
        <w:rPr>
          <w:i/>
        </w:rPr>
        <w:t>Prostitution Control</w:t>
      </w:r>
      <w:r>
        <w:t>, 38 Hastings L.J. 769 (1987)</w:t>
      </w:r>
      <w:r>
        <w:tab/>
        <w:t>6</w:t>
      </w:r>
    </w:p>
    <w:p w:rsidR="00B70742" w:rsidRDefault="00B70742" w:rsidP="00331EC6">
      <w:pPr>
        <w:tabs>
          <w:tab w:val="left" w:leader="dot" w:pos="8640"/>
        </w:tabs>
        <w:contextualSpacing/>
      </w:pPr>
    </w:p>
    <w:p w:rsidR="00B70742" w:rsidRDefault="00B70742" w:rsidP="00B70742">
      <w:pPr>
        <w:tabs>
          <w:tab w:val="left" w:leader="dot" w:pos="8640"/>
        </w:tabs>
        <w:contextualSpacing/>
      </w:pPr>
    </w:p>
    <w:p w:rsidR="00B70742" w:rsidRDefault="00B70742" w:rsidP="00B70742">
      <w:pPr>
        <w:tabs>
          <w:tab w:val="left" w:leader="dot" w:pos="8640"/>
        </w:tabs>
        <w:contextualSpacing/>
      </w:pPr>
      <w:r>
        <w:t xml:space="preserve">Kenji Yoshino, </w:t>
      </w:r>
      <w:r>
        <w:rPr>
          <w:i/>
        </w:rPr>
        <w:t>A New Birth of Freedom</w:t>
      </w:r>
      <w:proofErr w:type="gramStart"/>
      <w:r>
        <w:rPr>
          <w:i/>
        </w:rPr>
        <w:t>?:</w:t>
      </w:r>
      <w:proofErr w:type="gramEnd"/>
      <w:r>
        <w:rPr>
          <w:i/>
        </w:rPr>
        <w:t xml:space="preserve"> Obergefell v. Hodges</w:t>
      </w:r>
    </w:p>
    <w:p w:rsidR="00B70742" w:rsidRDefault="00B70742" w:rsidP="00B70742">
      <w:pPr>
        <w:tabs>
          <w:tab w:val="left" w:leader="dot" w:pos="8640"/>
        </w:tabs>
        <w:contextualSpacing/>
      </w:pPr>
      <w:r>
        <w:t xml:space="preserve">129 </w:t>
      </w:r>
      <w:proofErr w:type="spellStart"/>
      <w:r w:rsidRPr="00421DB9">
        <w:rPr>
          <w:smallCaps/>
        </w:rPr>
        <w:t>Harv</w:t>
      </w:r>
      <w:proofErr w:type="spellEnd"/>
      <w:r w:rsidRPr="00421DB9">
        <w:rPr>
          <w:smallCaps/>
        </w:rPr>
        <w:t>. L. Rev.</w:t>
      </w:r>
      <w:r>
        <w:t xml:space="preserve"> 147 (2015)</w:t>
      </w:r>
      <w:r>
        <w:tab/>
        <w:t>2,5</w:t>
      </w:r>
    </w:p>
    <w:p w:rsidR="00B70742" w:rsidRDefault="00B70742" w:rsidP="00331EC6">
      <w:pPr>
        <w:tabs>
          <w:tab w:val="left" w:leader="dot" w:pos="8640"/>
        </w:tabs>
        <w:contextualSpacing/>
      </w:pPr>
    </w:p>
    <w:p w:rsidR="00B70742" w:rsidRDefault="00B70742" w:rsidP="00331EC6">
      <w:pPr>
        <w:tabs>
          <w:tab w:val="left" w:leader="dot" w:pos="8640"/>
        </w:tabs>
        <w:contextualSpacing/>
      </w:pPr>
    </w:p>
    <w:p w:rsidR="006D185C" w:rsidRDefault="006D185C" w:rsidP="006D185C">
      <w:pPr>
        <w:tabs>
          <w:tab w:val="left" w:leader="dot" w:pos="8640"/>
        </w:tabs>
        <w:contextualSpacing/>
        <w:rPr>
          <w:i/>
        </w:rPr>
      </w:pPr>
      <w:r>
        <w:t xml:space="preserve">Martha C. Nussbaum, </w:t>
      </w:r>
      <w:r>
        <w:rPr>
          <w:i/>
        </w:rPr>
        <w:t>“Whether From Reason or Prejudice”: Taking Money for</w:t>
      </w:r>
    </w:p>
    <w:p w:rsidR="006D185C" w:rsidRDefault="006D185C" w:rsidP="006D185C">
      <w:pPr>
        <w:tabs>
          <w:tab w:val="left" w:leader="dot" w:pos="8640"/>
        </w:tabs>
        <w:contextualSpacing/>
      </w:pPr>
      <w:r>
        <w:rPr>
          <w:i/>
        </w:rPr>
        <w:t>Bodily Services</w:t>
      </w:r>
      <w:r>
        <w:t>, 27 The Journ</w:t>
      </w:r>
      <w:r w:rsidR="002E5617">
        <w:t>al of Legal Studies 693 (1998)</w:t>
      </w:r>
      <w:r w:rsidR="002E5617">
        <w:tab/>
        <w:t>6</w:t>
      </w:r>
    </w:p>
    <w:p w:rsidR="00331EC6" w:rsidRDefault="00331EC6" w:rsidP="006D185C">
      <w:pPr>
        <w:tabs>
          <w:tab w:val="left" w:leader="dot" w:pos="8640"/>
        </w:tabs>
        <w:contextualSpacing/>
      </w:pPr>
    </w:p>
    <w:p w:rsidR="00B70742" w:rsidRDefault="00B70742" w:rsidP="00B70742">
      <w:pPr>
        <w:tabs>
          <w:tab w:val="left" w:leader="dot" w:pos="8640"/>
        </w:tabs>
        <w:contextualSpacing/>
      </w:pPr>
    </w:p>
    <w:p w:rsidR="00B70742" w:rsidRPr="0053465D" w:rsidRDefault="00B70742" w:rsidP="00B70742">
      <w:pPr>
        <w:tabs>
          <w:tab w:val="left" w:leader="dot" w:pos="8640"/>
        </w:tabs>
        <w:contextualSpacing/>
      </w:pPr>
      <w:r>
        <w:t xml:space="preserve">Sylvia Law, </w:t>
      </w:r>
      <w:r>
        <w:rPr>
          <w:i/>
        </w:rPr>
        <w:t>Commercial Sex:  Beyond Decriminalization</w:t>
      </w:r>
      <w:r>
        <w:t xml:space="preserve">, 73 </w:t>
      </w:r>
      <w:r w:rsidRPr="00421DB9">
        <w:rPr>
          <w:smallCaps/>
        </w:rPr>
        <w:t>S. Cal. Rev.</w:t>
      </w:r>
      <w:r>
        <w:t xml:space="preserve"> 523 (2002)</w:t>
      </w:r>
      <w:r>
        <w:tab/>
        <w:t>6</w:t>
      </w:r>
    </w:p>
    <w:p w:rsidR="00331EC6" w:rsidRDefault="00331EC6" w:rsidP="006D185C">
      <w:pPr>
        <w:tabs>
          <w:tab w:val="left" w:leader="dot" w:pos="8640"/>
        </w:tabs>
        <w:contextualSpacing/>
      </w:pPr>
    </w:p>
    <w:p w:rsidR="006D185C" w:rsidRPr="0053465D" w:rsidRDefault="006D185C" w:rsidP="006D185C">
      <w:pPr>
        <w:tabs>
          <w:tab w:val="left" w:leader="dot" w:pos="8640"/>
        </w:tabs>
        <w:contextualSpacing/>
      </w:pPr>
      <w:r>
        <w:t>World Health Organization, Consolidated Guidelines on HIV Prevention, Diagnosis, Treatment And Care For Key Populations at 91 (July 2014)</w:t>
      </w:r>
      <w:r w:rsidR="002E5617">
        <w:tab/>
        <w:t>6</w:t>
      </w:r>
    </w:p>
    <w:p w:rsidR="006D185C" w:rsidRDefault="006D185C" w:rsidP="006D185C">
      <w:pPr>
        <w:tabs>
          <w:tab w:val="left" w:leader="dot" w:pos="8640"/>
        </w:tabs>
        <w:contextualSpacing/>
      </w:pPr>
    </w:p>
    <w:p w:rsidR="006D185C" w:rsidRPr="0053465D" w:rsidRDefault="006D185C" w:rsidP="00DF06FE">
      <w:pPr>
        <w:tabs>
          <w:tab w:val="left" w:leader="dot" w:pos="8640"/>
        </w:tabs>
        <w:contextualSpacing/>
      </w:pPr>
    </w:p>
    <w:p w:rsidR="006D185C" w:rsidRDefault="006D185C" w:rsidP="003A456F">
      <w:pPr>
        <w:spacing w:line="480" w:lineRule="exact"/>
        <w:ind w:right="-72"/>
        <w:jc w:val="center"/>
        <w:rPr>
          <w:b/>
        </w:rPr>
        <w:sectPr w:rsidR="006D185C" w:rsidSect="00505E77">
          <w:footerReference w:type="default" r:id="rId12"/>
          <w:pgSz w:w="12240" w:h="15840" w:code="1"/>
          <w:pgMar w:top="1440" w:right="1440" w:bottom="720" w:left="1800" w:header="720" w:footer="360" w:gutter="0"/>
          <w:pgNumType w:fmt="lowerRoman" w:start="1"/>
          <w:cols w:space="720"/>
          <w:docGrid w:linePitch="360"/>
        </w:sectPr>
      </w:pPr>
    </w:p>
    <w:p w:rsidR="00B776D0" w:rsidRPr="003A456F" w:rsidRDefault="00B776D0" w:rsidP="003A456F">
      <w:pPr>
        <w:spacing w:line="480" w:lineRule="exact"/>
        <w:ind w:right="-72"/>
        <w:jc w:val="center"/>
        <w:rPr>
          <w:b/>
        </w:rPr>
      </w:pPr>
      <w:r w:rsidRPr="003A456F">
        <w:rPr>
          <w:b/>
        </w:rPr>
        <w:lastRenderedPageBreak/>
        <w:t>INTRODUCTION</w:t>
      </w:r>
      <w:r w:rsidR="003A456F">
        <w:rPr>
          <w:b/>
        </w:rPr>
        <w:t xml:space="preserve"> / SUMMARY OF THE ARGUMENT</w:t>
      </w:r>
    </w:p>
    <w:p w:rsidR="004B589E" w:rsidRDefault="00B776D0" w:rsidP="00B776D0">
      <w:pPr>
        <w:spacing w:line="480" w:lineRule="exact"/>
        <w:ind w:right="-72" w:firstLine="720"/>
        <w:jc w:val="both"/>
      </w:pPr>
      <w:r>
        <w:t xml:space="preserve">Plaintiffs commenced this lawsuit </w:t>
      </w:r>
      <w:r w:rsidR="001478C8">
        <w:t xml:space="preserve">to challenge California’s intrusion upon </w:t>
      </w:r>
      <w:r w:rsidR="004B589E">
        <w:t xml:space="preserve">their fundamental liberty interest in deciding how to conduct their private lives in matters pertaining to sex.  </w:t>
      </w:r>
      <w:r>
        <w:t>Defendants moved to dismiss the action</w:t>
      </w:r>
      <w:r w:rsidR="008D0D54">
        <w:t>,</w:t>
      </w:r>
      <w:r>
        <w:t xml:space="preserve"> arguing </w:t>
      </w:r>
      <w:r w:rsidR="001478C8">
        <w:t xml:space="preserve">that </w:t>
      </w:r>
      <w:r w:rsidR="00B06AF0">
        <w:t xml:space="preserve">California’s </w:t>
      </w:r>
      <w:r w:rsidR="004B589E">
        <w:t>statute</w:t>
      </w:r>
      <w:r w:rsidR="00B06AF0">
        <w:t xml:space="preserve"> criminalizing prostitution</w:t>
      </w:r>
      <w:r w:rsidR="001478C8">
        <w:t xml:space="preserve"> does not </w:t>
      </w:r>
      <w:r w:rsidR="004B589E">
        <w:t>violate Plaintiffs’ constitutional rights.</w:t>
      </w:r>
    </w:p>
    <w:p w:rsidR="002143B3" w:rsidRDefault="00B776D0" w:rsidP="00B776D0">
      <w:pPr>
        <w:spacing w:line="480" w:lineRule="exact"/>
        <w:ind w:right="-72" w:firstLine="720"/>
        <w:jc w:val="both"/>
      </w:pPr>
      <w:r>
        <w:t>After that motion</w:t>
      </w:r>
      <w:r w:rsidR="001478C8">
        <w:t xml:space="preserve"> to dismiss</w:t>
      </w:r>
      <w:r>
        <w:t xml:space="preserve"> was fully briefed, the Supreme Court issued its decision in </w:t>
      </w:r>
      <w:r w:rsidRPr="00B776D0">
        <w:rPr>
          <w:i/>
        </w:rPr>
        <w:t>Obergefell v. Hodges</w:t>
      </w:r>
      <w:r>
        <w:t>, 135 S. Ct. 2584 (2015).  This Court subsequently ordered the parties to submit additional briefing to aid the Court</w:t>
      </w:r>
      <w:r w:rsidR="001478C8">
        <w:t xml:space="preserve"> as it analyzes</w:t>
      </w:r>
      <w:r>
        <w:t xml:space="preserve"> the effect of this recent precedent on the pending motion to dismiss.</w:t>
      </w:r>
      <w:r w:rsidR="008D0D54">
        <w:t xml:space="preserve">  (</w:t>
      </w:r>
      <w:r w:rsidR="008D0D54" w:rsidRPr="008D0D54">
        <w:rPr>
          <w:i/>
        </w:rPr>
        <w:t>See</w:t>
      </w:r>
      <w:r w:rsidR="008D0D54">
        <w:t xml:space="preserve"> </w:t>
      </w:r>
      <w:r w:rsidR="005A3303">
        <w:t xml:space="preserve">Order, </w:t>
      </w:r>
      <w:r w:rsidR="008D0D54">
        <w:t>Doc. 38).</w:t>
      </w:r>
    </w:p>
    <w:p w:rsidR="005637AF" w:rsidRDefault="00B776D0" w:rsidP="00B776D0">
      <w:pPr>
        <w:spacing w:line="480" w:lineRule="exact"/>
        <w:ind w:right="-72" w:firstLine="720"/>
        <w:jc w:val="both"/>
      </w:pPr>
      <w:r>
        <w:t xml:space="preserve">As explained below, </w:t>
      </w:r>
      <w:r w:rsidRPr="008D0D54">
        <w:rPr>
          <w:i/>
        </w:rPr>
        <w:t>Obergefell</w:t>
      </w:r>
      <w:r>
        <w:t xml:space="preserve"> vindicates the arguments </w:t>
      </w:r>
      <w:r w:rsidR="00B06AF0">
        <w:t xml:space="preserve">that </w:t>
      </w:r>
      <w:r>
        <w:t xml:space="preserve">Plaintiffs raised in their Opposition to the Motion to Dismiss (Doc. </w:t>
      </w:r>
      <w:r w:rsidR="008D0D54">
        <w:t>28</w:t>
      </w:r>
      <w:r>
        <w:t>).</w:t>
      </w:r>
      <w:r w:rsidR="005A2E8D">
        <w:t xml:space="preserve">  </w:t>
      </w:r>
      <w:r w:rsidR="005A2E8D" w:rsidRPr="005637AF">
        <w:rPr>
          <w:i/>
        </w:rPr>
        <w:t>Obergefell</w:t>
      </w:r>
      <w:r w:rsidR="005A2E8D">
        <w:t xml:space="preserve"> continues</w:t>
      </w:r>
      <w:r w:rsidR="005637AF">
        <w:t xml:space="preserve"> the Supreme Court’s jurisprudential theme of shielding </w:t>
      </w:r>
      <w:r w:rsidR="004B589E">
        <w:t>private, sexual</w:t>
      </w:r>
      <w:r w:rsidR="005637AF">
        <w:t xml:space="preserve"> rel</w:t>
      </w:r>
      <w:r w:rsidR="004B589E">
        <w:t>ationships from governmental oversight.</w:t>
      </w:r>
    </w:p>
    <w:p w:rsidR="00B776D0" w:rsidRDefault="00B776D0" w:rsidP="00B776D0">
      <w:pPr>
        <w:spacing w:line="480" w:lineRule="exact"/>
        <w:ind w:right="-72" w:firstLine="720"/>
        <w:jc w:val="both"/>
      </w:pPr>
      <w:r>
        <w:t xml:space="preserve">Like </w:t>
      </w:r>
      <w:r w:rsidRPr="008D0D54">
        <w:rPr>
          <w:i/>
        </w:rPr>
        <w:t>Lawrence v. Texas</w:t>
      </w:r>
      <w:r>
        <w:t xml:space="preserve">, </w:t>
      </w:r>
      <w:r w:rsidR="008D0D54">
        <w:t>539 U.S. 558</w:t>
      </w:r>
      <w:r>
        <w:t xml:space="preserve"> (2003),</w:t>
      </w:r>
      <w:r w:rsidR="003A456F">
        <w:t xml:space="preserve"> </w:t>
      </w:r>
      <w:r w:rsidRPr="008D0D54">
        <w:rPr>
          <w:i/>
        </w:rPr>
        <w:t>Obergefell</w:t>
      </w:r>
      <w:r>
        <w:t xml:space="preserve"> confirms that the Due Process Clause of the Fourteenth Amendment allows individuals to engage in intimate conduct without </w:t>
      </w:r>
      <w:r w:rsidR="008D0D54">
        <w:t xml:space="preserve">unwarranted </w:t>
      </w:r>
      <w:r w:rsidR="005A2E8D">
        <w:t xml:space="preserve">governmental </w:t>
      </w:r>
      <w:r w:rsidR="008D0D54">
        <w:t>intrusion</w:t>
      </w:r>
      <w:r>
        <w:t xml:space="preserve">.  Like </w:t>
      </w:r>
      <w:r w:rsidRPr="005A2E8D">
        <w:rPr>
          <w:i/>
        </w:rPr>
        <w:t>Lawrence</w:t>
      </w:r>
      <w:r>
        <w:t xml:space="preserve">, </w:t>
      </w:r>
      <w:r w:rsidRPr="005A2E8D">
        <w:rPr>
          <w:i/>
        </w:rPr>
        <w:t>Obergefell</w:t>
      </w:r>
      <w:r w:rsidR="005A2E8D">
        <w:t xml:space="preserve"> </w:t>
      </w:r>
      <w:r w:rsidR="005637AF">
        <w:t>shows</w:t>
      </w:r>
      <w:r w:rsidR="005A2E8D">
        <w:t xml:space="preserve"> that the </w:t>
      </w:r>
      <w:r w:rsidR="00FC2A27">
        <w:t xml:space="preserve">backward-looking </w:t>
      </w:r>
      <w:r w:rsidR="005A2E8D">
        <w:t xml:space="preserve">approach to the Due Process Clause emanating from </w:t>
      </w:r>
      <w:r w:rsidR="005A2E8D" w:rsidRPr="005A2E8D">
        <w:rPr>
          <w:i/>
        </w:rPr>
        <w:t>Washington v. Glucksberg</w:t>
      </w:r>
      <w:r w:rsidR="005A2E8D">
        <w:t xml:space="preserve">, 512 U.S. 701 (1997) does not </w:t>
      </w:r>
      <w:r w:rsidR="005A3303">
        <w:t xml:space="preserve">apply to </w:t>
      </w:r>
      <w:r w:rsidR="005A2E8D">
        <w:t xml:space="preserve">cases </w:t>
      </w:r>
      <w:r w:rsidR="00B06AF0">
        <w:t>concerning</w:t>
      </w:r>
      <w:r w:rsidR="005A2E8D">
        <w:t xml:space="preserve"> intimate conduct</w:t>
      </w:r>
      <w:r>
        <w:t xml:space="preserve">.  </w:t>
      </w:r>
      <w:r w:rsidR="005A2E8D">
        <w:t>Finally,</w:t>
      </w:r>
      <w:r>
        <w:t xml:space="preserve"> like </w:t>
      </w:r>
      <w:r w:rsidRPr="005A2E8D">
        <w:rPr>
          <w:i/>
        </w:rPr>
        <w:t>Lawrence</w:t>
      </w:r>
      <w:r>
        <w:t xml:space="preserve">, </w:t>
      </w:r>
      <w:r w:rsidRPr="005A2E8D">
        <w:rPr>
          <w:i/>
        </w:rPr>
        <w:t>Obergefell</w:t>
      </w:r>
      <w:r>
        <w:t xml:space="preserve"> </w:t>
      </w:r>
      <w:r w:rsidR="003A456F">
        <w:t xml:space="preserve">categorically </w:t>
      </w:r>
      <w:r w:rsidR="005A2E8D">
        <w:t xml:space="preserve">rejects the idea </w:t>
      </w:r>
      <w:r w:rsidR="003A456F">
        <w:t xml:space="preserve">that </w:t>
      </w:r>
      <w:r w:rsidR="005A2E8D">
        <w:t xml:space="preserve">individuals must </w:t>
      </w:r>
      <w:r w:rsidR="007B1643">
        <w:t>rely upon</w:t>
      </w:r>
      <w:r w:rsidR="00D77C7D">
        <w:t xml:space="preserve"> t</w:t>
      </w:r>
      <w:r w:rsidR="003A456F">
        <w:t xml:space="preserve">he </w:t>
      </w:r>
      <w:r w:rsidR="001478C8">
        <w:t>democratic process</w:t>
      </w:r>
      <w:r w:rsidR="00D77C7D">
        <w:t xml:space="preserve"> rather than the federal courts to</w:t>
      </w:r>
      <w:r w:rsidR="001478C8">
        <w:t xml:space="preserve"> </w:t>
      </w:r>
      <w:r w:rsidR="00D77C7D">
        <w:t xml:space="preserve">protect </w:t>
      </w:r>
      <w:r w:rsidR="001478C8">
        <w:t>their constitutional liberties</w:t>
      </w:r>
      <w:r w:rsidR="003A456F">
        <w:t>.</w:t>
      </w:r>
    </w:p>
    <w:p w:rsidR="002143B3" w:rsidRDefault="005637AF" w:rsidP="004E43BE">
      <w:pPr>
        <w:spacing w:line="480" w:lineRule="exact"/>
        <w:ind w:right="-72"/>
        <w:jc w:val="both"/>
      </w:pPr>
      <w:r>
        <w:tab/>
      </w:r>
      <w:r w:rsidR="00332280" w:rsidRPr="00F12806">
        <w:rPr>
          <w:i/>
        </w:rPr>
        <w:t>Obergefell</w:t>
      </w:r>
      <w:r w:rsidR="00332280">
        <w:t xml:space="preserve"> is not an outlier or an anomaly</w:t>
      </w:r>
      <w:r w:rsidR="00F12806">
        <w:t xml:space="preserve">.  </w:t>
      </w:r>
      <w:r w:rsidR="007B1643">
        <w:t xml:space="preserve">Rather, it </w:t>
      </w:r>
      <w:r w:rsidR="00F12806">
        <w:t>is</w:t>
      </w:r>
      <w:r w:rsidR="007B1643">
        <w:t xml:space="preserve"> one of many points</w:t>
      </w:r>
      <w:r w:rsidR="00F12806">
        <w:t xml:space="preserve"> </w:t>
      </w:r>
      <w:r w:rsidR="007B1643">
        <w:t xml:space="preserve">on </w:t>
      </w:r>
      <w:r w:rsidR="00F12806">
        <w:t xml:space="preserve">decades-long continuum of decisions respecting individuals’ </w:t>
      </w:r>
      <w:r w:rsidR="003311BE">
        <w:t>liberty and sexual autonomy</w:t>
      </w:r>
      <w:r w:rsidR="00BD6974">
        <w:t xml:space="preserve">.  The case currently before this Court is </w:t>
      </w:r>
      <w:r w:rsidR="007B1643">
        <w:t>simply one more</w:t>
      </w:r>
      <w:r w:rsidR="00BD6974">
        <w:t xml:space="preserve"> point along this continuum.</w:t>
      </w:r>
    </w:p>
    <w:p w:rsidR="005637AF" w:rsidRDefault="005637AF" w:rsidP="004E43BE">
      <w:pPr>
        <w:spacing w:line="480" w:lineRule="exact"/>
        <w:ind w:right="-72"/>
        <w:jc w:val="both"/>
      </w:pPr>
    </w:p>
    <w:p w:rsidR="005A3303" w:rsidRDefault="005A3303" w:rsidP="004E43BE">
      <w:pPr>
        <w:spacing w:line="480" w:lineRule="exact"/>
        <w:ind w:right="-72"/>
        <w:jc w:val="both"/>
      </w:pPr>
    </w:p>
    <w:p w:rsidR="003311BE" w:rsidRDefault="003311BE" w:rsidP="004E43BE">
      <w:pPr>
        <w:spacing w:line="480" w:lineRule="exact"/>
        <w:ind w:right="-72"/>
        <w:jc w:val="both"/>
      </w:pPr>
    </w:p>
    <w:p w:rsidR="005637AF" w:rsidRPr="008A6B84" w:rsidRDefault="00D77C7D" w:rsidP="008A6B84">
      <w:pPr>
        <w:numPr>
          <w:ilvl w:val="0"/>
          <w:numId w:val="35"/>
        </w:numPr>
        <w:spacing w:line="480" w:lineRule="exact"/>
        <w:ind w:left="720" w:right="-72" w:hanging="360"/>
        <w:jc w:val="both"/>
        <w:rPr>
          <w:b/>
        </w:rPr>
      </w:pPr>
      <w:r w:rsidRPr="008A6B84">
        <w:rPr>
          <w:b/>
          <w:i/>
        </w:rPr>
        <w:lastRenderedPageBreak/>
        <w:t>Obergefell</w:t>
      </w:r>
      <w:r w:rsidRPr="008A6B84">
        <w:rPr>
          <w:b/>
        </w:rPr>
        <w:t xml:space="preserve"> confirms that the Due Process Clause prevents the </w:t>
      </w:r>
      <w:r w:rsidR="00450E9F">
        <w:rPr>
          <w:b/>
        </w:rPr>
        <w:t>S</w:t>
      </w:r>
      <w:r w:rsidRPr="008A6B84">
        <w:rPr>
          <w:b/>
        </w:rPr>
        <w:t xml:space="preserve">tate from intruding upon </w:t>
      </w:r>
      <w:r w:rsidR="00450E9F">
        <w:rPr>
          <w:b/>
        </w:rPr>
        <w:t>adults as they decide how to conduct their private, sexual lives.</w:t>
      </w:r>
    </w:p>
    <w:p w:rsidR="00603C83" w:rsidRDefault="00990A15" w:rsidP="00296A52">
      <w:pPr>
        <w:spacing w:line="480" w:lineRule="exact"/>
        <w:ind w:right="-72" w:firstLine="720"/>
        <w:jc w:val="both"/>
      </w:pPr>
      <w:r>
        <w:t xml:space="preserve">At the most rudimentary level of analysis, </w:t>
      </w:r>
      <w:r w:rsidRPr="00990A15">
        <w:rPr>
          <w:i/>
        </w:rPr>
        <w:t>Obergefell</w:t>
      </w:r>
      <w:r>
        <w:t xml:space="preserve"> affects this case because it reaffirms that </w:t>
      </w:r>
      <w:r w:rsidR="00603C83">
        <w:t>“</w:t>
      </w:r>
      <w:r w:rsidR="00603C83" w:rsidRPr="00990A15">
        <w:rPr>
          <w:i/>
        </w:rPr>
        <w:t>Lawrence</w:t>
      </w:r>
      <w:r w:rsidR="00603C83">
        <w:t xml:space="preserve"> confirmed a dimension of freedom that allows individuals to engage in intimate association without criminal liability”.  </w:t>
      </w:r>
      <w:r w:rsidR="00603C83" w:rsidRPr="00990A15">
        <w:rPr>
          <w:i/>
        </w:rPr>
        <w:t>Obergefell v. Hodges</w:t>
      </w:r>
      <w:r w:rsidR="00603C83">
        <w:t xml:space="preserve">, 135 S. Ct. 2584, 2600 (2015); </w:t>
      </w:r>
      <w:r w:rsidR="00603C83" w:rsidRPr="00603C83">
        <w:rPr>
          <w:i/>
        </w:rPr>
        <w:t>see also</w:t>
      </w:r>
      <w:r w:rsidR="00603C83">
        <w:t xml:space="preserve"> </w:t>
      </w:r>
      <w:r w:rsidR="00603C83" w:rsidRPr="00603C83">
        <w:rPr>
          <w:i/>
        </w:rPr>
        <w:t>Id</w:t>
      </w:r>
      <w:r w:rsidR="00603C83">
        <w:t xml:space="preserve">. at 2604 (noting that </w:t>
      </w:r>
      <w:r w:rsidR="00603C83" w:rsidRPr="00990A15">
        <w:rPr>
          <w:i/>
        </w:rPr>
        <w:t>Lawrence</w:t>
      </w:r>
      <w:r w:rsidR="00603C83">
        <w:t xml:space="preserve"> held that the state cannot demean an individual’s existence or control their destiny by making their private sexual conduct a crime).</w:t>
      </w:r>
    </w:p>
    <w:p w:rsidR="00F83790" w:rsidRDefault="00F83790" w:rsidP="00296A52">
      <w:pPr>
        <w:spacing w:line="480" w:lineRule="exact"/>
        <w:ind w:right="-72" w:firstLine="720"/>
        <w:jc w:val="both"/>
      </w:pPr>
      <w:r>
        <w:t xml:space="preserve">In their original brief (filed before the Supreme Court’s decision in </w:t>
      </w:r>
      <w:r>
        <w:rPr>
          <w:i/>
        </w:rPr>
        <w:t>Obergefell</w:t>
      </w:r>
      <w:r>
        <w:t xml:space="preserve">), Plaintiffs argued at length that under </w:t>
      </w:r>
      <w:r w:rsidRPr="00E137CF">
        <w:rPr>
          <w:i/>
        </w:rPr>
        <w:t>Lawrence</w:t>
      </w:r>
      <w:r>
        <w:t>,</w:t>
      </w:r>
      <w:r w:rsidR="00E137CF">
        <w:t xml:space="preserve"> laws criminalizing consensual, adult, sexual activity that occurs in private should be struck down as a violation of substantive due process.  (</w:t>
      </w:r>
      <w:r w:rsidR="00E137CF" w:rsidRPr="00E137CF">
        <w:rPr>
          <w:i/>
        </w:rPr>
        <w:t>See</w:t>
      </w:r>
      <w:r w:rsidR="00E137CF">
        <w:t xml:space="preserve"> Opposition, Doc. 28, p. 5).</w:t>
      </w:r>
      <w:r>
        <w:t xml:space="preserve">  </w:t>
      </w:r>
      <w:r w:rsidR="00E137CF">
        <w:t xml:space="preserve">By its decision in </w:t>
      </w:r>
      <w:r w:rsidR="00E137CF" w:rsidRPr="00E137CF">
        <w:rPr>
          <w:i/>
        </w:rPr>
        <w:t>Obergefell</w:t>
      </w:r>
      <w:r w:rsidR="00E137CF">
        <w:t>, t</w:t>
      </w:r>
      <w:r>
        <w:t xml:space="preserve">he Supreme Court confirmed </w:t>
      </w:r>
      <w:r w:rsidR="004B589E">
        <w:t xml:space="preserve">Plaintiffs’ argument </w:t>
      </w:r>
      <w:r>
        <w:t xml:space="preserve">that </w:t>
      </w:r>
      <w:r w:rsidRPr="00E137CF">
        <w:rPr>
          <w:i/>
        </w:rPr>
        <w:t>Lawrence</w:t>
      </w:r>
      <w:r>
        <w:t xml:space="preserve"> remains good law, and </w:t>
      </w:r>
      <w:r w:rsidR="004B589E">
        <w:t xml:space="preserve">it therefore </w:t>
      </w:r>
      <w:r>
        <w:t xml:space="preserve">struck down another set of laws that </w:t>
      </w:r>
      <w:r w:rsidR="004B589E">
        <w:t xml:space="preserve">brought unwarranted government intrusion into </w:t>
      </w:r>
      <w:r w:rsidR="005A3303">
        <w:t>a</w:t>
      </w:r>
      <w:r w:rsidR="004B589E">
        <w:t xml:space="preserve"> “sphere[] of our lives and existence * * * where the State should not be a dominant presence</w:t>
      </w:r>
      <w:r>
        <w:t>.</w:t>
      </w:r>
      <w:r w:rsidR="004B589E">
        <w:t xml:space="preserve">”  </w:t>
      </w:r>
      <w:r w:rsidR="00450E9F">
        <w:rPr>
          <w:i/>
        </w:rPr>
        <w:t>See Lawrence v. Texas</w:t>
      </w:r>
      <w:r w:rsidR="004B589E">
        <w:t xml:space="preserve">, </w:t>
      </w:r>
      <w:r w:rsidR="00450E9F">
        <w:t>539 U.S. 558, 562 (2003).</w:t>
      </w:r>
    </w:p>
    <w:p w:rsidR="00034815" w:rsidRDefault="00F83790" w:rsidP="00296A52">
      <w:pPr>
        <w:spacing w:line="480" w:lineRule="exact"/>
        <w:ind w:right="-72" w:firstLine="720"/>
        <w:jc w:val="both"/>
      </w:pPr>
      <w:r>
        <w:t xml:space="preserve">But to end the analysis there is to miss the forest for the trees.  </w:t>
      </w:r>
      <w:r w:rsidRPr="00E137CF">
        <w:rPr>
          <w:i/>
        </w:rPr>
        <w:t>Obergefell</w:t>
      </w:r>
      <w:r>
        <w:t xml:space="preserve"> shed substantial new light on </w:t>
      </w:r>
      <w:r w:rsidR="00D56409">
        <w:t xml:space="preserve">how courts should analyze claims that the government has violated </w:t>
      </w:r>
      <w:r>
        <w:t>the Due Process Clause of the Fourteenth Amendment</w:t>
      </w:r>
      <w:r w:rsidR="00D56409">
        <w:t xml:space="preserve"> by intruding </w:t>
      </w:r>
      <w:r w:rsidR="004B589E">
        <w:t>into those spheres of our lives where the State should not be a dominant presence</w:t>
      </w:r>
      <w:r>
        <w:t>.</w:t>
      </w:r>
      <w:r w:rsidR="00D56409">
        <w:t xml:space="preserve">  In so doing, </w:t>
      </w:r>
      <w:r w:rsidR="00111387" w:rsidRPr="00E137CF">
        <w:rPr>
          <w:i/>
        </w:rPr>
        <w:t>Obergefell</w:t>
      </w:r>
      <w:r w:rsidR="00111387">
        <w:t xml:space="preserve"> “became a game changer for substantive due process jurisprudence.”  </w:t>
      </w:r>
      <w:r w:rsidR="004B589E" w:rsidRPr="004B589E">
        <w:rPr>
          <w:i/>
        </w:rPr>
        <w:t>See</w:t>
      </w:r>
      <w:r w:rsidR="004B589E">
        <w:t xml:space="preserve"> </w:t>
      </w:r>
      <w:r w:rsidR="00111387">
        <w:t xml:space="preserve">Kenji Yoshino, </w:t>
      </w:r>
      <w:r w:rsidR="00111387" w:rsidRPr="00450E9F">
        <w:rPr>
          <w:i/>
        </w:rPr>
        <w:t>A New Birth of Freedom</w:t>
      </w:r>
      <w:proofErr w:type="gramStart"/>
      <w:r w:rsidR="00111387" w:rsidRPr="00450E9F">
        <w:rPr>
          <w:i/>
        </w:rPr>
        <w:t>?:</w:t>
      </w:r>
      <w:proofErr w:type="gramEnd"/>
      <w:r w:rsidR="00111387" w:rsidRPr="00450E9F">
        <w:rPr>
          <w:i/>
        </w:rPr>
        <w:t xml:space="preserve">  Obergefell v. Hodges</w:t>
      </w:r>
      <w:r w:rsidR="00111387">
        <w:t xml:space="preserve">, 129 </w:t>
      </w:r>
      <w:proofErr w:type="spellStart"/>
      <w:r w:rsidR="00111387" w:rsidRPr="00610E1E">
        <w:rPr>
          <w:smallCaps/>
        </w:rPr>
        <w:t>Harv</w:t>
      </w:r>
      <w:proofErr w:type="spellEnd"/>
      <w:r w:rsidR="00111387" w:rsidRPr="00610E1E">
        <w:rPr>
          <w:smallCaps/>
        </w:rPr>
        <w:t>. L. Rev.</w:t>
      </w:r>
      <w:r w:rsidR="00111387">
        <w:t xml:space="preserve"> 147 (2015)</w:t>
      </w:r>
      <w:r w:rsidR="00D56409">
        <w:t>.</w:t>
      </w:r>
    </w:p>
    <w:p w:rsidR="00EA4341" w:rsidRPr="00EA4341" w:rsidRDefault="00EA4341" w:rsidP="00EA4341">
      <w:pPr>
        <w:numPr>
          <w:ilvl w:val="0"/>
          <w:numId w:val="35"/>
        </w:numPr>
        <w:spacing w:line="480" w:lineRule="exact"/>
        <w:ind w:right="-72"/>
        <w:jc w:val="both"/>
        <w:rPr>
          <w:b/>
        </w:rPr>
      </w:pPr>
      <w:r w:rsidRPr="00EA4341">
        <w:rPr>
          <w:b/>
        </w:rPr>
        <w:t xml:space="preserve">Substantive Due Process Prior to </w:t>
      </w:r>
      <w:r w:rsidRPr="00EA4341">
        <w:rPr>
          <w:b/>
          <w:i/>
        </w:rPr>
        <w:t>Obergefell</w:t>
      </w:r>
    </w:p>
    <w:p w:rsidR="00C270E0" w:rsidRDefault="00E137CF" w:rsidP="001F76BB">
      <w:pPr>
        <w:spacing w:line="480" w:lineRule="exact"/>
        <w:ind w:right="-72" w:firstLine="720"/>
        <w:jc w:val="both"/>
      </w:pPr>
      <w:r>
        <w:t xml:space="preserve">Prior to </w:t>
      </w:r>
      <w:r w:rsidRPr="00E137CF">
        <w:rPr>
          <w:i/>
        </w:rPr>
        <w:t>Obergefell</w:t>
      </w:r>
      <w:r w:rsidR="00647298">
        <w:t xml:space="preserve"> but after </w:t>
      </w:r>
      <w:r w:rsidR="00647298" w:rsidRPr="00647298">
        <w:rPr>
          <w:i/>
        </w:rPr>
        <w:t>Lawrence</w:t>
      </w:r>
      <w:r w:rsidR="00647298">
        <w:t xml:space="preserve">, </w:t>
      </w:r>
      <w:r>
        <w:t xml:space="preserve">reasonable minds could disagree as to how a court should analyze a substantive due process claim.  </w:t>
      </w:r>
      <w:r w:rsidRPr="00E137CF">
        <w:rPr>
          <w:i/>
        </w:rPr>
        <w:t>See Witt v. Dept. of Air Force</w:t>
      </w:r>
      <w:r>
        <w:t>, 527 F.3d 806</w:t>
      </w:r>
      <w:r w:rsidR="00BB5DAA">
        <w:t>, 822</w:t>
      </w:r>
      <w:r>
        <w:t xml:space="preserve"> (9th Cir. 2008)(Canby, J., concurring in part and dissenting in part)(noting that “the Supreme Court’s opinion in </w:t>
      </w:r>
      <w:r w:rsidRPr="00E137CF">
        <w:rPr>
          <w:i/>
        </w:rPr>
        <w:t>Lawrence</w:t>
      </w:r>
      <w:r>
        <w:t xml:space="preserve"> never unambiguously states what standard of review it is applying”).</w:t>
      </w:r>
      <w:r w:rsidR="00647298">
        <w:t xml:space="preserve">  </w:t>
      </w:r>
      <w:r w:rsidR="001F76BB">
        <w:t xml:space="preserve">This ambiguity presented itself in the original briefs filed with this </w:t>
      </w:r>
      <w:r w:rsidR="001F76BB">
        <w:lastRenderedPageBreak/>
        <w:t xml:space="preserve">Court, as the parties espoused their </w:t>
      </w:r>
      <w:r w:rsidR="00647298">
        <w:t xml:space="preserve">respective views </w:t>
      </w:r>
      <w:r w:rsidR="001F76BB">
        <w:t>on how the Court should analyze</w:t>
      </w:r>
      <w:r w:rsidR="00111387">
        <w:t xml:space="preserve"> whether the statute at issue in this case</w:t>
      </w:r>
      <w:r w:rsidR="005B5DF7">
        <w:t>, Cal. Pen. Code §647(b)</w:t>
      </w:r>
      <w:r w:rsidR="00D56409">
        <w:t>,</w:t>
      </w:r>
      <w:r w:rsidR="00111387">
        <w:t xml:space="preserve"> violates substantive due process</w:t>
      </w:r>
      <w:r w:rsidR="00C270E0">
        <w:t>.</w:t>
      </w:r>
    </w:p>
    <w:p w:rsidR="00EA4341" w:rsidRPr="00EA4341" w:rsidRDefault="00EA4341" w:rsidP="00EA4341">
      <w:pPr>
        <w:numPr>
          <w:ilvl w:val="0"/>
          <w:numId w:val="36"/>
        </w:numPr>
        <w:spacing w:line="480" w:lineRule="exact"/>
        <w:ind w:right="-72"/>
        <w:jc w:val="both"/>
        <w:rPr>
          <w:b/>
        </w:rPr>
      </w:pPr>
      <w:r w:rsidRPr="00EA4341">
        <w:rPr>
          <w:b/>
        </w:rPr>
        <w:t xml:space="preserve">The </w:t>
      </w:r>
      <w:r w:rsidRPr="00EA4341">
        <w:rPr>
          <w:b/>
          <w:i/>
        </w:rPr>
        <w:t>Lawrence</w:t>
      </w:r>
      <w:r w:rsidRPr="00EA4341">
        <w:rPr>
          <w:b/>
        </w:rPr>
        <w:t xml:space="preserve"> Court’s substantive due process analysis.</w:t>
      </w:r>
    </w:p>
    <w:p w:rsidR="00C270E0" w:rsidRDefault="005B5DF7" w:rsidP="00DC053D">
      <w:pPr>
        <w:spacing w:line="480" w:lineRule="exact"/>
        <w:ind w:right="-72" w:firstLine="720"/>
        <w:jc w:val="both"/>
      </w:pPr>
      <w:r>
        <w:t>The Plaintiffs assert</w:t>
      </w:r>
      <w:r w:rsidR="00C270E0">
        <w:t>ed</w:t>
      </w:r>
      <w:r>
        <w:t xml:space="preserve"> that </w:t>
      </w:r>
      <w:r w:rsidRPr="00846C10">
        <w:rPr>
          <w:i/>
        </w:rPr>
        <w:t>Lawrence v. Texas</w:t>
      </w:r>
      <w:r>
        <w:t>,</w:t>
      </w:r>
      <w:r w:rsidR="00846C10">
        <w:t xml:space="preserve"> 539 U.S. 558</w:t>
      </w:r>
      <w:r>
        <w:t>, is controlling</w:t>
      </w:r>
      <w:r w:rsidR="00EA4341">
        <w:t xml:space="preserve"> </w:t>
      </w:r>
      <w:r w:rsidR="00450E9F">
        <w:t xml:space="preserve">on this case </w:t>
      </w:r>
      <w:r w:rsidR="00EA4341">
        <w:t>because it</w:t>
      </w:r>
      <w:r w:rsidR="005A3303">
        <w:t xml:space="preserve"> is a substantive due process case that</w:t>
      </w:r>
      <w:r w:rsidR="00EA4341">
        <w:t xml:space="preserve"> </w:t>
      </w:r>
      <w:r w:rsidR="005A3303">
        <w:t xml:space="preserve">addresses </w:t>
      </w:r>
      <w:r w:rsidR="00EA4341">
        <w:t>the fundamental liberty interest of adult persons in deciding how to conduct their private lives in matters pertaining to sex</w:t>
      </w:r>
      <w:r w:rsidR="00590903">
        <w:t xml:space="preserve">.  Plaintiffs contrasted </w:t>
      </w:r>
      <w:r w:rsidR="00590903" w:rsidRPr="00450E9F">
        <w:rPr>
          <w:i/>
        </w:rPr>
        <w:t>Lawrence</w:t>
      </w:r>
      <w:r w:rsidR="000145AA">
        <w:t xml:space="preserve"> </w:t>
      </w:r>
      <w:r w:rsidR="00590903">
        <w:t xml:space="preserve">with the substantive due process cases </w:t>
      </w:r>
      <w:r w:rsidR="000145AA">
        <w:t>cited by the State</w:t>
      </w:r>
      <w:r w:rsidR="00376D1F">
        <w:t xml:space="preserve"> (i.e. </w:t>
      </w:r>
      <w:r w:rsidR="00376D1F" w:rsidRPr="00376D1F">
        <w:rPr>
          <w:i/>
        </w:rPr>
        <w:t>Glucksberg</w:t>
      </w:r>
      <w:r w:rsidR="00376D1F">
        <w:t xml:space="preserve"> and its progeny)</w:t>
      </w:r>
      <w:r w:rsidR="00590903">
        <w:t xml:space="preserve">, noting that the </w:t>
      </w:r>
      <w:r w:rsidR="00B70742">
        <w:t xml:space="preserve">cases cited by the State </w:t>
      </w:r>
      <w:r w:rsidR="005A3303">
        <w:t>do</w:t>
      </w:r>
      <w:r w:rsidR="00590903">
        <w:t xml:space="preserve"> not concern an individual’s liberty vis-à-vis his or her sexuality and intimacy</w:t>
      </w:r>
      <w:r w:rsidR="000145AA">
        <w:t>.</w:t>
      </w:r>
      <w:r w:rsidR="005F500A">
        <w:t xml:space="preserve">  (Opposition, Doc. 28, p. 10).</w:t>
      </w:r>
      <w:r w:rsidR="00647298">
        <w:t xml:space="preserve"> </w:t>
      </w:r>
      <w:r w:rsidR="000145AA">
        <w:t xml:space="preserve"> Thus, Plaintiffs argued that </w:t>
      </w:r>
      <w:r w:rsidR="0060680B">
        <w:t xml:space="preserve">this Court should use the analysis used by the Supreme Court in </w:t>
      </w:r>
      <w:r w:rsidR="0060680B" w:rsidRPr="00DB0345">
        <w:rPr>
          <w:i/>
        </w:rPr>
        <w:t>Lawrence</w:t>
      </w:r>
      <w:r w:rsidR="0060680B">
        <w:t xml:space="preserve"> (and, prior to </w:t>
      </w:r>
      <w:r w:rsidR="0060680B" w:rsidRPr="0060680B">
        <w:rPr>
          <w:i/>
        </w:rPr>
        <w:t>Lawrence</w:t>
      </w:r>
      <w:r w:rsidR="0060680B">
        <w:t xml:space="preserve">, in </w:t>
      </w:r>
      <w:r w:rsidR="005A3303">
        <w:rPr>
          <w:i/>
        </w:rPr>
        <w:t>Planned Parenthood of Southeastern Pennsylvania v. Casey</w:t>
      </w:r>
      <w:r w:rsidR="005A3303">
        <w:t>, 505 U.S. 833 (1992)</w:t>
      </w:r>
      <w:r w:rsidR="0060680B">
        <w:t xml:space="preserve"> and its predecessors)</w:t>
      </w:r>
      <w:r>
        <w:t>.</w:t>
      </w:r>
      <w:r w:rsidR="00846C10">
        <w:t xml:space="preserve">  (Opposition, Doc. 28, pp. 5-6).</w:t>
      </w:r>
      <w:r w:rsidR="00C270E0">
        <w:t xml:space="preserve">  </w:t>
      </w:r>
      <w:r w:rsidR="00590903">
        <w:t>That analytical framework was described by t</w:t>
      </w:r>
      <w:r w:rsidR="0060680B">
        <w:t xml:space="preserve">he </w:t>
      </w:r>
      <w:r w:rsidR="00DB0345" w:rsidRPr="00DB0345">
        <w:rPr>
          <w:i/>
        </w:rPr>
        <w:t>Casey</w:t>
      </w:r>
      <w:r w:rsidR="00DB0345">
        <w:t xml:space="preserve"> Court </w:t>
      </w:r>
      <w:r w:rsidR="000145AA">
        <w:t>thusly</w:t>
      </w:r>
      <w:r w:rsidR="0060680B">
        <w:t>:</w:t>
      </w:r>
    </w:p>
    <w:p w:rsidR="00A53583" w:rsidRDefault="00A53583" w:rsidP="00A53583">
      <w:pPr>
        <w:spacing w:line="240" w:lineRule="auto"/>
        <w:ind w:left="1440" w:right="360"/>
        <w:jc w:val="both"/>
      </w:pPr>
    </w:p>
    <w:p w:rsidR="0060680B" w:rsidRDefault="0060680B" w:rsidP="00A53583">
      <w:pPr>
        <w:spacing w:line="240" w:lineRule="auto"/>
        <w:ind w:left="1440" w:right="360"/>
        <w:jc w:val="both"/>
      </w:pPr>
      <w:r>
        <w:t xml:space="preserve">The inescapable fact is that adjudication of substantive due process claims may call upon the Court in interpreting the Constitution to exercise that same capacity by which tradition courts always have exercised:  reasoned judgment.  Its boundaries are not susceptible of expression as a simple rule.  </w:t>
      </w:r>
    </w:p>
    <w:p w:rsidR="00A53583" w:rsidRDefault="00A53583" w:rsidP="00A53583">
      <w:pPr>
        <w:spacing w:line="240" w:lineRule="auto"/>
        <w:ind w:left="1440" w:right="360"/>
        <w:jc w:val="both"/>
      </w:pPr>
    </w:p>
    <w:p w:rsidR="000145AA" w:rsidRDefault="0060680B" w:rsidP="000145AA">
      <w:pPr>
        <w:spacing w:line="480" w:lineRule="exact"/>
        <w:ind w:right="-72"/>
        <w:jc w:val="both"/>
      </w:pPr>
      <w:r w:rsidRPr="0060680B">
        <w:rPr>
          <w:i/>
        </w:rPr>
        <w:t>Casey</w:t>
      </w:r>
      <w:r>
        <w:t xml:space="preserve">, 505 U.S. at </w:t>
      </w:r>
      <w:r w:rsidR="00DB0345">
        <w:t xml:space="preserve">849 (citing </w:t>
      </w:r>
      <w:r w:rsidR="00DB0345" w:rsidRPr="00DB0345">
        <w:rPr>
          <w:i/>
        </w:rPr>
        <w:t>Poe v. Ullman</w:t>
      </w:r>
      <w:r w:rsidR="00DB0345">
        <w:t>, 367 U.S.</w:t>
      </w:r>
      <w:r w:rsidR="0006509A">
        <w:t xml:space="preserve"> 497,</w:t>
      </w:r>
      <w:r w:rsidR="00DB0345">
        <w:t xml:space="preserve"> 542</w:t>
      </w:r>
      <w:r w:rsidR="0006509A">
        <w:t xml:space="preserve"> (1961</w:t>
      </w:r>
      <w:r w:rsidR="00DB0345">
        <w:t>)(Harlan, J., dissenting from dismissal on jurisdictional grounds)).</w:t>
      </w:r>
    </w:p>
    <w:p w:rsidR="0060680B" w:rsidRDefault="00A03B17" w:rsidP="000145AA">
      <w:pPr>
        <w:spacing w:line="480" w:lineRule="exact"/>
        <w:ind w:right="-72" w:firstLine="720"/>
        <w:jc w:val="both"/>
      </w:pPr>
      <w:r>
        <w:t xml:space="preserve">These </w:t>
      </w:r>
      <w:r w:rsidR="005A3303">
        <w:t xml:space="preserve">controlling </w:t>
      </w:r>
      <w:r>
        <w:t xml:space="preserve">cases make clear </w:t>
      </w:r>
      <w:r w:rsidR="00DB0345">
        <w:t xml:space="preserve">that there is no </w:t>
      </w:r>
      <w:r w:rsidR="000145AA">
        <w:t>easily-</w:t>
      </w:r>
      <w:proofErr w:type="spellStart"/>
      <w:r w:rsidR="000145AA">
        <w:t>recitable</w:t>
      </w:r>
      <w:proofErr w:type="spellEnd"/>
      <w:r w:rsidR="000145AA">
        <w:t xml:space="preserve"> </w:t>
      </w:r>
      <w:r w:rsidR="00DB0345">
        <w:t>rule to be applied to this case</w:t>
      </w:r>
      <w:r w:rsidR="000145AA">
        <w:t>.</w:t>
      </w:r>
      <w:r w:rsidR="00DB0345">
        <w:t xml:space="preserve"> </w:t>
      </w:r>
      <w:r w:rsidR="000145AA">
        <w:t xml:space="preserve"> R</w:t>
      </w:r>
      <w:r w:rsidR="00DB0345">
        <w:t xml:space="preserve">ather, the Court should exercise its </w:t>
      </w:r>
      <w:r w:rsidR="00590903">
        <w:t>“</w:t>
      </w:r>
      <w:r w:rsidR="00DB0345">
        <w:t>reasoned judgment</w:t>
      </w:r>
      <w:r w:rsidR="00590903">
        <w:t>”</w:t>
      </w:r>
      <w:r w:rsidR="00DB0345">
        <w:t xml:space="preserve"> and determine that California’s statute criminalizing prostitution</w:t>
      </w:r>
      <w:r w:rsidR="00590903">
        <w:t xml:space="preserve"> unnecessarily</w:t>
      </w:r>
      <w:r w:rsidR="00916456">
        <w:t xml:space="preserve"> infringes upon Plaintiff</w:t>
      </w:r>
      <w:r w:rsidR="00DB0345">
        <w:t>s</w:t>
      </w:r>
      <w:r w:rsidR="00916456">
        <w:t>’</w:t>
      </w:r>
      <w:r w:rsidR="00DB0345">
        <w:t xml:space="preserve"> liberty interest in deciding how to conduct themselves in matters pertaining to sex.</w:t>
      </w:r>
    </w:p>
    <w:p w:rsidR="00EA4341" w:rsidRPr="00EA4341" w:rsidRDefault="00EA4341" w:rsidP="00EA4341">
      <w:pPr>
        <w:numPr>
          <w:ilvl w:val="0"/>
          <w:numId w:val="36"/>
        </w:numPr>
        <w:spacing w:line="480" w:lineRule="exact"/>
        <w:ind w:right="-72"/>
        <w:jc w:val="both"/>
        <w:rPr>
          <w:b/>
        </w:rPr>
      </w:pPr>
      <w:r w:rsidRPr="00EA4341">
        <w:rPr>
          <w:b/>
        </w:rPr>
        <w:t xml:space="preserve">The </w:t>
      </w:r>
      <w:r w:rsidRPr="000145AA">
        <w:rPr>
          <w:b/>
          <w:i/>
        </w:rPr>
        <w:t>Glucksberg</w:t>
      </w:r>
      <w:r w:rsidRPr="00EA4341">
        <w:rPr>
          <w:b/>
        </w:rPr>
        <w:t xml:space="preserve"> Court’s substantive due process analysis.</w:t>
      </w:r>
    </w:p>
    <w:p w:rsidR="000145AA" w:rsidRDefault="00DC053D" w:rsidP="00DC053D">
      <w:pPr>
        <w:spacing w:line="480" w:lineRule="exact"/>
        <w:ind w:right="-72" w:firstLine="720"/>
        <w:jc w:val="both"/>
      </w:pPr>
      <w:r>
        <w:t>The State</w:t>
      </w:r>
      <w:r w:rsidR="005B5DF7">
        <w:t>, on the other hand,</w:t>
      </w:r>
      <w:r>
        <w:t xml:space="preserve"> </w:t>
      </w:r>
      <w:r w:rsidR="00DB0345">
        <w:t xml:space="preserve">advocated that this Court should adopt </w:t>
      </w:r>
      <w:r w:rsidR="005A3303">
        <w:t>the</w:t>
      </w:r>
      <w:r w:rsidR="000906A8">
        <w:t xml:space="preserve"> more</w:t>
      </w:r>
      <w:r w:rsidR="00DB0345">
        <w:t xml:space="preserve"> formulaic approach used by the </w:t>
      </w:r>
      <w:r w:rsidR="00EA4341">
        <w:t>courts</w:t>
      </w:r>
      <w:r w:rsidR="00DB0345">
        <w:t xml:space="preserve"> in a different </w:t>
      </w:r>
      <w:r w:rsidR="00EA4341">
        <w:t>vein of substantive</w:t>
      </w:r>
      <w:r w:rsidR="00DB0345">
        <w:t xml:space="preserve"> due process case</w:t>
      </w:r>
      <w:r w:rsidR="00EA4341">
        <w:t>s</w:t>
      </w:r>
      <w:r w:rsidR="00DB0345">
        <w:t xml:space="preserve">.  The State </w:t>
      </w:r>
      <w:r w:rsidR="00C270E0">
        <w:t>argued</w:t>
      </w:r>
      <w:r w:rsidR="00846C10">
        <w:t xml:space="preserve"> </w:t>
      </w:r>
      <w:r>
        <w:t>that “</w:t>
      </w:r>
      <w:r w:rsidRPr="00DC053D">
        <w:rPr>
          <w:i/>
        </w:rPr>
        <w:t>Washington v. Glucksberg</w:t>
      </w:r>
      <w:r>
        <w:t xml:space="preserve">, 521 U.S. 702, and </w:t>
      </w:r>
      <w:proofErr w:type="spellStart"/>
      <w:r w:rsidRPr="00DC053D">
        <w:rPr>
          <w:i/>
        </w:rPr>
        <w:t>Raich</w:t>
      </w:r>
      <w:proofErr w:type="spellEnd"/>
      <w:r w:rsidRPr="00DC053D">
        <w:rPr>
          <w:i/>
        </w:rPr>
        <w:t xml:space="preserve"> v. Gonzales</w:t>
      </w:r>
      <w:r>
        <w:t xml:space="preserve">, 500 </w:t>
      </w:r>
      <w:r>
        <w:lastRenderedPageBreak/>
        <w:t>F.3d 850, are controlling, and require dismissal of this case.”  (Motion to Dismiss, Doc. 21, p. 9).</w:t>
      </w:r>
      <w:r w:rsidR="00DB0345">
        <w:t xml:space="preserve">  </w:t>
      </w:r>
      <w:r w:rsidR="000145AA">
        <w:t xml:space="preserve">They claim that “Plaintiffs are wrong” in suggesting that this Court should follow the approach used by the Supreme Court in </w:t>
      </w:r>
      <w:r w:rsidR="000145AA" w:rsidRPr="000145AA">
        <w:rPr>
          <w:i/>
        </w:rPr>
        <w:t>Lawrence</w:t>
      </w:r>
      <w:r w:rsidR="000145AA">
        <w:t xml:space="preserve">, </w:t>
      </w:r>
      <w:r w:rsidR="000145AA" w:rsidRPr="000145AA">
        <w:rPr>
          <w:i/>
        </w:rPr>
        <w:t>Casey</w:t>
      </w:r>
      <w:r w:rsidR="000145AA">
        <w:t>, and their predecessors.  (</w:t>
      </w:r>
      <w:r w:rsidR="000145AA" w:rsidRPr="005A3303">
        <w:rPr>
          <w:i/>
        </w:rPr>
        <w:t>See</w:t>
      </w:r>
      <w:r w:rsidR="000145AA">
        <w:t xml:space="preserve"> Reply, Doc. 29, p. 4).</w:t>
      </w:r>
    </w:p>
    <w:p w:rsidR="005B5DF7" w:rsidRDefault="00DB0345" w:rsidP="00DC053D">
      <w:pPr>
        <w:spacing w:line="480" w:lineRule="exact"/>
        <w:ind w:right="-72" w:firstLine="720"/>
        <w:jc w:val="both"/>
      </w:pPr>
      <w:r>
        <w:t xml:space="preserve">Under </w:t>
      </w:r>
      <w:r w:rsidRPr="00EA4341">
        <w:rPr>
          <w:i/>
        </w:rPr>
        <w:t>Glucksberg</w:t>
      </w:r>
      <w:r>
        <w:t xml:space="preserve">, a court will offer protection to a substantive due process right only when it is: (1) carefully defined; and (2) objectively, deeply rooted in this Nation’s history and tradition and implicit in </w:t>
      </w:r>
      <w:r w:rsidR="00BB5DAA">
        <w:t>the concept of ordered liberty.</w:t>
      </w:r>
      <w:r>
        <w:t xml:space="preserve">  </w:t>
      </w:r>
      <w:r w:rsidR="0020621E" w:rsidRPr="0020621E">
        <w:rPr>
          <w:i/>
        </w:rPr>
        <w:t xml:space="preserve">Washington v. </w:t>
      </w:r>
      <w:r w:rsidRPr="0020621E">
        <w:rPr>
          <w:i/>
        </w:rPr>
        <w:t>Glucksberg</w:t>
      </w:r>
      <w:r>
        <w:t xml:space="preserve">, 521 U.S. </w:t>
      </w:r>
      <w:r w:rsidR="0020621E">
        <w:t xml:space="preserve">702, </w:t>
      </w:r>
      <w:r>
        <w:t>721</w:t>
      </w:r>
      <w:r w:rsidR="0020621E">
        <w:t xml:space="preserve"> (1997)</w:t>
      </w:r>
      <w:r>
        <w:t>.</w:t>
      </w:r>
      <w:r w:rsidR="000145AA">
        <w:t xml:space="preserve">  </w:t>
      </w:r>
      <w:r w:rsidR="00A03B17">
        <w:t>However, a</w:t>
      </w:r>
      <w:r w:rsidR="000145AA">
        <w:t xml:space="preserve">s Plaintiffs noted in their original brief, scholars have sharply criticized the </w:t>
      </w:r>
      <w:r w:rsidR="0095750B">
        <w:t>historical context approach from</w:t>
      </w:r>
      <w:r w:rsidR="000145AA">
        <w:t xml:space="preserve"> </w:t>
      </w:r>
      <w:r w:rsidR="000145AA" w:rsidRPr="000145AA">
        <w:rPr>
          <w:i/>
        </w:rPr>
        <w:t>Glucksberg</w:t>
      </w:r>
      <w:r w:rsidR="000145AA">
        <w:t xml:space="preserve"> as being easily manipulated and producing arbitrary outcomes.</w:t>
      </w:r>
      <w:r w:rsidR="002E6506">
        <w:t xml:space="preserve">  (</w:t>
      </w:r>
      <w:r w:rsidR="002E6506" w:rsidRPr="0020621E">
        <w:rPr>
          <w:i/>
        </w:rPr>
        <w:t>See</w:t>
      </w:r>
      <w:r w:rsidR="002E6506">
        <w:t xml:space="preserve"> Opposition, Doc. 28, p. 10).</w:t>
      </w:r>
    </w:p>
    <w:p w:rsidR="00EA4341" w:rsidRPr="000145AA" w:rsidRDefault="000145AA" w:rsidP="00EA4341">
      <w:pPr>
        <w:numPr>
          <w:ilvl w:val="0"/>
          <w:numId w:val="36"/>
        </w:numPr>
        <w:spacing w:line="480" w:lineRule="exact"/>
        <w:ind w:right="-72"/>
        <w:jc w:val="both"/>
        <w:rPr>
          <w:b/>
        </w:rPr>
      </w:pPr>
      <w:r w:rsidRPr="000145AA">
        <w:rPr>
          <w:b/>
          <w:i/>
        </w:rPr>
        <w:t>Obergefell</w:t>
      </w:r>
      <w:r w:rsidRPr="000145AA">
        <w:rPr>
          <w:b/>
        </w:rPr>
        <w:t xml:space="preserve"> resolves the ambiguity and demonstrates that this Court should follow </w:t>
      </w:r>
      <w:r w:rsidRPr="000145AA">
        <w:rPr>
          <w:b/>
          <w:i/>
        </w:rPr>
        <w:t>Obergefell</w:t>
      </w:r>
      <w:r w:rsidRPr="000145AA">
        <w:rPr>
          <w:b/>
        </w:rPr>
        <w:t xml:space="preserve">, </w:t>
      </w:r>
      <w:r w:rsidRPr="000145AA">
        <w:rPr>
          <w:b/>
          <w:i/>
        </w:rPr>
        <w:t>Lawrence</w:t>
      </w:r>
      <w:r w:rsidRPr="000145AA">
        <w:rPr>
          <w:b/>
        </w:rPr>
        <w:t xml:space="preserve">, and </w:t>
      </w:r>
      <w:r w:rsidRPr="000145AA">
        <w:rPr>
          <w:b/>
          <w:i/>
        </w:rPr>
        <w:t>Casey</w:t>
      </w:r>
      <w:r w:rsidRPr="000145AA">
        <w:rPr>
          <w:b/>
        </w:rPr>
        <w:t xml:space="preserve"> as opposed to </w:t>
      </w:r>
      <w:r w:rsidRPr="000145AA">
        <w:rPr>
          <w:b/>
          <w:i/>
        </w:rPr>
        <w:t>Glucksberg</w:t>
      </w:r>
      <w:r w:rsidRPr="000145AA">
        <w:rPr>
          <w:b/>
        </w:rPr>
        <w:t>.</w:t>
      </w:r>
    </w:p>
    <w:p w:rsidR="00846C10" w:rsidRDefault="00B76571" w:rsidP="00C270E0">
      <w:pPr>
        <w:spacing w:line="480" w:lineRule="exact"/>
        <w:ind w:right="-72" w:firstLine="720"/>
        <w:jc w:val="both"/>
      </w:pPr>
      <w:r w:rsidRPr="00B76571">
        <w:rPr>
          <w:i/>
        </w:rPr>
        <w:t>Obergefell</w:t>
      </w:r>
      <w:r>
        <w:t xml:space="preserve"> now removes all doubt</w:t>
      </w:r>
      <w:r w:rsidR="00B250DE">
        <w:t xml:space="preserve"> as to this </w:t>
      </w:r>
      <w:r w:rsidR="002E6506">
        <w:t>uncertain issue</w:t>
      </w:r>
      <w:r w:rsidR="00846C10">
        <w:t xml:space="preserve"> and vindicates the Plaintiffs’ argument </w:t>
      </w:r>
      <w:r w:rsidR="002E6506">
        <w:t>that</w:t>
      </w:r>
      <w:r w:rsidR="00A03B17">
        <w:t xml:space="preserve"> the analysis from</w:t>
      </w:r>
      <w:r w:rsidR="002E6506">
        <w:t xml:space="preserve"> </w:t>
      </w:r>
      <w:r w:rsidR="002E6506" w:rsidRPr="000906A8">
        <w:rPr>
          <w:i/>
        </w:rPr>
        <w:t>Lawrence</w:t>
      </w:r>
      <w:r w:rsidR="002E6506">
        <w:t xml:space="preserve"> </w:t>
      </w:r>
      <w:r w:rsidR="00B250DE">
        <w:t xml:space="preserve">– not </w:t>
      </w:r>
      <w:r w:rsidRPr="00B76571">
        <w:rPr>
          <w:i/>
        </w:rPr>
        <w:t>Glucksberg</w:t>
      </w:r>
      <w:r w:rsidR="00846C10">
        <w:t xml:space="preserve"> – </w:t>
      </w:r>
      <w:r w:rsidR="00EA4341">
        <w:t>must be applied to the present case</w:t>
      </w:r>
      <w:r>
        <w:t xml:space="preserve">.  </w:t>
      </w:r>
      <w:r w:rsidR="00C270E0" w:rsidRPr="000906A8">
        <w:rPr>
          <w:i/>
        </w:rPr>
        <w:t>Obergefell</w:t>
      </w:r>
      <w:r w:rsidR="00C270E0" w:rsidRPr="00D56409">
        <w:t xml:space="preserve"> flatly rejects </w:t>
      </w:r>
      <w:r w:rsidR="00C270E0" w:rsidRPr="00D56409">
        <w:rPr>
          <w:i/>
        </w:rPr>
        <w:t>Glucksberg</w:t>
      </w:r>
      <w:r w:rsidR="00C270E0" w:rsidRPr="00D56409">
        <w:t xml:space="preserve">’s backward-looking approach to the Due Process Clause in cases concerning </w:t>
      </w:r>
      <w:r w:rsidR="00A03B17">
        <w:t>sexuality and intimacy</w:t>
      </w:r>
      <w:r w:rsidR="00C270E0" w:rsidRPr="00D56409">
        <w:t>.</w:t>
      </w:r>
    </w:p>
    <w:p w:rsidR="00846C10" w:rsidRDefault="00846C10" w:rsidP="00DC053D">
      <w:pPr>
        <w:spacing w:line="480" w:lineRule="exact"/>
        <w:ind w:right="-72" w:firstLine="720"/>
        <w:jc w:val="both"/>
      </w:pPr>
      <w:r>
        <w:t xml:space="preserve">In </w:t>
      </w:r>
      <w:r w:rsidRPr="00846C10">
        <w:rPr>
          <w:i/>
        </w:rPr>
        <w:t>Obergefell</w:t>
      </w:r>
      <w:r>
        <w:t xml:space="preserve">, the states resisting same-sex marriage took the same </w:t>
      </w:r>
      <w:r w:rsidR="0020621E">
        <w:t>overly-narrow</w:t>
      </w:r>
      <w:r>
        <w:t xml:space="preserve"> approach </w:t>
      </w:r>
      <w:r w:rsidR="000906A8">
        <w:t xml:space="preserve">that the </w:t>
      </w:r>
      <w:r>
        <w:t xml:space="preserve">State </w:t>
      </w:r>
      <w:r w:rsidR="000906A8">
        <w:t>has taken</w:t>
      </w:r>
      <w:r>
        <w:t xml:space="preserve"> in this case.  </w:t>
      </w:r>
      <w:r w:rsidR="000906A8">
        <w:t>To those states, the same-sex marriage cases</w:t>
      </w:r>
      <w:r w:rsidR="00F77FC5">
        <w:t xml:space="preserve"> </w:t>
      </w:r>
      <w:r w:rsidR="000906A8">
        <w:t xml:space="preserve">were </w:t>
      </w:r>
      <w:r w:rsidR="00F77FC5">
        <w:t xml:space="preserve">not about </w:t>
      </w:r>
      <w:r w:rsidR="00477DC8">
        <w:t xml:space="preserve">intimacy, and </w:t>
      </w:r>
      <w:r w:rsidR="000906A8">
        <w:t>they were</w:t>
      </w:r>
      <w:r w:rsidR="00477DC8">
        <w:t xml:space="preserve"> not about </w:t>
      </w:r>
      <w:r w:rsidR="00F77FC5">
        <w:t>defining spheres of our lives where the State should not be a dominant presence.</w:t>
      </w:r>
      <w:r w:rsidR="00477DC8">
        <w:t xml:space="preserve">  Rather, they argued that the issue before the Court was only whether there was a constitutional “right to same-sex marriage”.  </w:t>
      </w:r>
      <w:r w:rsidR="00477DC8" w:rsidRPr="00F77FC5">
        <w:rPr>
          <w:i/>
        </w:rPr>
        <w:t>Obergefell</w:t>
      </w:r>
      <w:r w:rsidR="00477DC8">
        <w:t xml:space="preserve">, 135 S. Ct. at 2602.  </w:t>
      </w:r>
      <w:r w:rsidR="00C270E0">
        <w:t>They then analyzed the constitutional “right to same-sex marriage” under the</w:t>
      </w:r>
      <w:r w:rsidR="00CC6198">
        <w:t xml:space="preserve"> constraints of the</w:t>
      </w:r>
      <w:r w:rsidR="00C270E0">
        <w:t xml:space="preserve"> </w:t>
      </w:r>
      <w:r w:rsidR="00C270E0" w:rsidRPr="00CC6198">
        <w:rPr>
          <w:i/>
        </w:rPr>
        <w:t>Glucksberg</w:t>
      </w:r>
      <w:r w:rsidR="00EA4341">
        <w:t xml:space="preserve"> analysis</w:t>
      </w:r>
      <w:r w:rsidR="00CC6198">
        <w:t>,</w:t>
      </w:r>
      <w:r w:rsidR="00EA4341">
        <w:t xml:space="preserve"> </w:t>
      </w:r>
      <w:r w:rsidR="00C270E0">
        <w:t xml:space="preserve">vehemently </w:t>
      </w:r>
      <w:r w:rsidR="00CC6198">
        <w:t xml:space="preserve">arguing </w:t>
      </w:r>
      <w:r w:rsidR="00C270E0">
        <w:t xml:space="preserve">that such a right was not deeply rooted </w:t>
      </w:r>
      <w:r w:rsidR="00EA4341">
        <w:t>in this Nation’s history and tradition</w:t>
      </w:r>
      <w:r w:rsidR="00C270E0">
        <w:t>.</w:t>
      </w:r>
      <w:r w:rsidR="00E3122B">
        <w:t xml:space="preserve">  </w:t>
      </w:r>
      <w:r w:rsidR="00E3122B" w:rsidRPr="00E3122B">
        <w:rPr>
          <w:i/>
        </w:rPr>
        <w:t>See</w:t>
      </w:r>
      <w:r w:rsidR="00E3122B">
        <w:t xml:space="preserve"> Brief for the Respondents at 21-27, 2015 WL 1384104, </w:t>
      </w:r>
      <w:proofErr w:type="spellStart"/>
      <w:r w:rsidR="00E3122B" w:rsidRPr="00E3122B">
        <w:rPr>
          <w:i/>
        </w:rPr>
        <w:t>DeBoer</w:t>
      </w:r>
      <w:proofErr w:type="spellEnd"/>
      <w:r w:rsidR="00E3122B" w:rsidRPr="00E3122B">
        <w:rPr>
          <w:i/>
        </w:rPr>
        <w:t xml:space="preserve"> v. Snyder</w:t>
      </w:r>
      <w:r w:rsidR="00E3122B">
        <w:t>, 135 S. Ct. 2584 (No. 14-571).</w:t>
      </w:r>
    </w:p>
    <w:p w:rsidR="00B76571" w:rsidRDefault="00477DC8" w:rsidP="00DC053D">
      <w:pPr>
        <w:spacing w:line="480" w:lineRule="exact"/>
        <w:ind w:right="-72" w:firstLine="720"/>
        <w:jc w:val="both"/>
      </w:pPr>
      <w:r>
        <w:t>But the</w:t>
      </w:r>
      <w:r w:rsidR="00C270E0">
        <w:t xml:space="preserve"> Supreme</w:t>
      </w:r>
      <w:r>
        <w:t xml:space="preserve"> Court w</w:t>
      </w:r>
      <w:r w:rsidR="0020621E">
        <w:t xml:space="preserve">as not persuaded by this </w:t>
      </w:r>
      <w:r w:rsidR="00A03B17">
        <w:t>constricted</w:t>
      </w:r>
      <w:r>
        <w:t xml:space="preserve"> view of the issue presented.</w:t>
      </w:r>
      <w:r w:rsidR="00C270E0">
        <w:t xml:space="preserve">  And the </w:t>
      </w:r>
      <w:r w:rsidR="00CC6198" w:rsidRPr="00CC6198">
        <w:rPr>
          <w:i/>
        </w:rPr>
        <w:t>Obergefell</w:t>
      </w:r>
      <w:r w:rsidR="00CC6198">
        <w:t xml:space="preserve"> </w:t>
      </w:r>
      <w:r w:rsidR="00C270E0">
        <w:t xml:space="preserve">Court declined the States’ invitation to analyze that claim </w:t>
      </w:r>
      <w:r w:rsidR="00C270E0">
        <w:lastRenderedPageBreak/>
        <w:t xml:space="preserve">under the test set forth in </w:t>
      </w:r>
      <w:r w:rsidR="00C270E0" w:rsidRPr="00CC6198">
        <w:rPr>
          <w:i/>
        </w:rPr>
        <w:t>Glucksberg</w:t>
      </w:r>
      <w:r w:rsidR="00C270E0">
        <w:t>.</w:t>
      </w:r>
      <w:r>
        <w:t xml:space="preserve">  </w:t>
      </w:r>
      <w:r w:rsidR="00B250DE">
        <w:t>In fact</w:t>
      </w:r>
      <w:r w:rsidR="00B76571">
        <w:t xml:space="preserve">, the Supreme Court in </w:t>
      </w:r>
      <w:r w:rsidR="00B76571" w:rsidRPr="00B76571">
        <w:rPr>
          <w:i/>
        </w:rPr>
        <w:t>Obergefell</w:t>
      </w:r>
      <w:r w:rsidR="00B76571">
        <w:t xml:space="preserve"> </w:t>
      </w:r>
      <w:r w:rsidR="00CC6198">
        <w:t xml:space="preserve">analyzed the issue in precisely the same manner as </w:t>
      </w:r>
      <w:r w:rsidR="00B76571">
        <w:t>Plaintiffs</w:t>
      </w:r>
      <w:r w:rsidR="00B250DE">
        <w:t xml:space="preserve"> </w:t>
      </w:r>
      <w:r w:rsidR="00CC6198">
        <w:t>had</w:t>
      </w:r>
      <w:r w:rsidR="00B76571">
        <w:t xml:space="preserve"> in their original brief</w:t>
      </w:r>
      <w:r w:rsidR="00EA0E53">
        <w:t xml:space="preserve"> filed with</w:t>
      </w:r>
      <w:r w:rsidR="00CC6198">
        <w:t xml:space="preserve"> this Court</w:t>
      </w:r>
      <w:r w:rsidR="00C270E0">
        <w:t>:</w:t>
      </w:r>
    </w:p>
    <w:p w:rsidR="00B76571" w:rsidRDefault="00B76571" w:rsidP="00B76571">
      <w:pPr>
        <w:spacing w:line="240" w:lineRule="auto"/>
        <w:ind w:left="1440" w:right="360"/>
        <w:jc w:val="both"/>
        <w:rPr>
          <w:rStyle w:val="cohl"/>
        </w:rPr>
      </w:pPr>
      <w:r>
        <w:rPr>
          <w:rStyle w:val="cohl"/>
          <w:i/>
          <w:iCs/>
        </w:rPr>
        <w:t>Glucksberg</w:t>
      </w:r>
      <w:r>
        <w:rPr>
          <w:rStyle w:val="cohl"/>
        </w:rPr>
        <w:t xml:space="preserve"> did insist that liberty under the Due Process Clause must be defined in a most circumscribed manner, with central reference to specific historical practices. Yet while that approach may have been appropriate for the asserted right there involved (physician-assisted suicide), it is inconsistent with the approach this Court has used in discussing other fundamental rights, including marriage and intimacy.</w:t>
      </w:r>
    </w:p>
    <w:p w:rsidR="00D752E8" w:rsidRDefault="00D752E8" w:rsidP="00B76571">
      <w:pPr>
        <w:spacing w:line="240" w:lineRule="auto"/>
        <w:ind w:left="1440" w:right="360"/>
        <w:jc w:val="both"/>
        <w:rPr>
          <w:rStyle w:val="cohl"/>
        </w:rPr>
      </w:pPr>
    </w:p>
    <w:p w:rsidR="00B250DE" w:rsidRDefault="00B250DE" w:rsidP="00B250DE">
      <w:pPr>
        <w:spacing w:line="480" w:lineRule="exact"/>
        <w:ind w:right="-72"/>
        <w:jc w:val="both"/>
      </w:pPr>
      <w:r w:rsidRPr="00B250DE">
        <w:rPr>
          <w:i/>
        </w:rPr>
        <w:t>Obergefell</w:t>
      </w:r>
      <w:r>
        <w:t>, 135 S. Ct. at 2602.</w:t>
      </w:r>
    </w:p>
    <w:p w:rsidR="00CC6198" w:rsidRDefault="00A03B17" w:rsidP="00B250DE">
      <w:pPr>
        <w:spacing w:line="480" w:lineRule="exact"/>
        <w:ind w:right="-72" w:firstLine="720"/>
        <w:jc w:val="both"/>
      </w:pPr>
      <w:r>
        <w:t>J</w:t>
      </w:r>
      <w:r w:rsidR="00C270E0">
        <w:t xml:space="preserve">ust as in </w:t>
      </w:r>
      <w:r w:rsidR="00B31AE0" w:rsidRPr="00B31AE0">
        <w:rPr>
          <w:i/>
        </w:rPr>
        <w:t>Lawrence</w:t>
      </w:r>
      <w:r w:rsidR="00D60651">
        <w:t xml:space="preserve">, </w:t>
      </w:r>
      <w:r w:rsidR="001B7B55">
        <w:t>the Supreme Court</w:t>
      </w:r>
      <w:r w:rsidR="00D60651">
        <w:t xml:space="preserve"> in </w:t>
      </w:r>
      <w:r w:rsidR="00D60651" w:rsidRPr="00D60651">
        <w:rPr>
          <w:i/>
        </w:rPr>
        <w:t>Obergefell</w:t>
      </w:r>
      <w:r w:rsidR="001B7B55">
        <w:t xml:space="preserve"> rejected the </w:t>
      </w:r>
      <w:r w:rsidR="00D60651">
        <w:t>“</w:t>
      </w:r>
      <w:r w:rsidR="001B7B55">
        <w:t>Glucksberg Two-Step</w:t>
      </w:r>
      <w:r w:rsidR="00D60651">
        <w:t>”</w:t>
      </w:r>
      <w:r w:rsidR="001B7B55">
        <w:t xml:space="preserve"> as the way to analyze </w:t>
      </w:r>
      <w:r w:rsidR="00D60651">
        <w:t>this kind</w:t>
      </w:r>
      <w:r w:rsidR="00BB5DAA">
        <w:t xml:space="preserve"> of substantive due process claim</w:t>
      </w:r>
      <w:r w:rsidR="00B31AE0">
        <w:t>.</w:t>
      </w:r>
      <w:r w:rsidR="00B76571">
        <w:t xml:space="preserve"> </w:t>
      </w:r>
      <w:r w:rsidR="00B31AE0">
        <w:t xml:space="preserve"> </w:t>
      </w:r>
      <w:r w:rsidR="00B76571" w:rsidRPr="00B31AE0">
        <w:rPr>
          <w:i/>
        </w:rPr>
        <w:t>See also Obergefell</w:t>
      </w:r>
      <w:r w:rsidR="00B76571">
        <w:t>, 135 S. Ct. at 2620-21 (Roberts, C.J., dissenting)(</w:t>
      </w:r>
      <w:r w:rsidR="00B31AE0">
        <w:t xml:space="preserve">noting that the </w:t>
      </w:r>
      <w:r w:rsidR="00B31AE0" w:rsidRPr="00B31AE0">
        <w:rPr>
          <w:i/>
        </w:rPr>
        <w:t>Obergefell</w:t>
      </w:r>
      <w:r w:rsidR="00B31AE0">
        <w:t xml:space="preserve"> majority “</w:t>
      </w:r>
      <w:proofErr w:type="spellStart"/>
      <w:r w:rsidR="00B31AE0">
        <w:t>jet</w:t>
      </w:r>
      <w:r w:rsidR="007F5893">
        <w:t>t</w:t>
      </w:r>
      <w:r w:rsidR="00B31AE0">
        <w:t>isson</w:t>
      </w:r>
      <w:proofErr w:type="spellEnd"/>
      <w:r w:rsidR="00B31AE0">
        <w:t>[</w:t>
      </w:r>
      <w:proofErr w:type="spellStart"/>
      <w:r w:rsidR="00B31AE0">
        <w:t>ed</w:t>
      </w:r>
      <w:proofErr w:type="spellEnd"/>
      <w:r w:rsidR="00B31AE0">
        <w:t xml:space="preserve">]” and “effectively overruled” the </w:t>
      </w:r>
      <w:r w:rsidR="00B31AE0" w:rsidRPr="00B31AE0">
        <w:rPr>
          <w:i/>
        </w:rPr>
        <w:t>Glucksberg</w:t>
      </w:r>
      <w:r w:rsidR="00B31AE0">
        <w:t xml:space="preserve"> approach to substantive due process in these cases)</w:t>
      </w:r>
      <w:r w:rsidR="00CC6198">
        <w:t xml:space="preserve">; </w:t>
      </w:r>
      <w:r w:rsidR="006415EE">
        <w:t xml:space="preserve">Yoshino, </w:t>
      </w:r>
      <w:r w:rsidR="006415EE" w:rsidRPr="00CC6198">
        <w:rPr>
          <w:i/>
        </w:rPr>
        <w:t>supra</w:t>
      </w:r>
      <w:r w:rsidR="006415EE">
        <w:t xml:space="preserve">, 129 </w:t>
      </w:r>
      <w:r w:rsidR="006415EE" w:rsidRPr="00CC6198">
        <w:rPr>
          <w:smallCaps/>
        </w:rPr>
        <w:t xml:space="preserve">Hard. L. Rev. </w:t>
      </w:r>
      <w:r w:rsidR="006415EE">
        <w:t xml:space="preserve">at 162 (“After </w:t>
      </w:r>
      <w:r w:rsidR="006415EE" w:rsidRPr="006415EE">
        <w:rPr>
          <w:i/>
        </w:rPr>
        <w:t>Obergefell</w:t>
      </w:r>
      <w:r w:rsidR="006415EE">
        <w:t xml:space="preserve">, it will be much harder to invoke </w:t>
      </w:r>
      <w:r w:rsidR="006415EE" w:rsidRPr="00CC6198">
        <w:rPr>
          <w:i/>
        </w:rPr>
        <w:t>Glucksberg</w:t>
      </w:r>
      <w:r w:rsidR="006415EE">
        <w:t xml:space="preserve"> as binding precedent.”); </w:t>
      </w:r>
      <w:r w:rsidR="006415EE" w:rsidRPr="006415EE">
        <w:rPr>
          <w:i/>
        </w:rPr>
        <w:t>Id</w:t>
      </w:r>
      <w:r w:rsidR="006415EE">
        <w:t>. at 166 (“</w:t>
      </w:r>
      <w:r w:rsidR="006415EE" w:rsidRPr="006415EE">
        <w:rPr>
          <w:i/>
        </w:rPr>
        <w:t>Obergefell</w:t>
      </w:r>
      <w:r w:rsidR="006415EE">
        <w:t xml:space="preserve"> seems to have laid waste to the entire </w:t>
      </w:r>
      <w:r w:rsidR="006415EE" w:rsidRPr="006415EE">
        <w:rPr>
          <w:i/>
        </w:rPr>
        <w:t>Glucksberg</w:t>
      </w:r>
      <w:r w:rsidR="006415EE">
        <w:t xml:space="preserve"> edifice.”)</w:t>
      </w:r>
      <w:r w:rsidR="001B7B55">
        <w:t>.</w:t>
      </w:r>
    </w:p>
    <w:p w:rsidR="00B76571" w:rsidRDefault="00B250DE" w:rsidP="00B250DE">
      <w:pPr>
        <w:spacing w:line="480" w:lineRule="exact"/>
        <w:ind w:right="-72" w:firstLine="720"/>
        <w:jc w:val="both"/>
      </w:pPr>
      <w:r>
        <w:t xml:space="preserve">The State is therefore </w:t>
      </w:r>
      <w:r w:rsidR="00477DC8">
        <w:t>incorrect</w:t>
      </w:r>
      <w:r>
        <w:t xml:space="preserve"> when it suggests that </w:t>
      </w:r>
      <w:r w:rsidRPr="00B250DE">
        <w:rPr>
          <w:i/>
        </w:rPr>
        <w:t xml:space="preserve">Glucksberg </w:t>
      </w:r>
      <w:r w:rsidR="001B7B55" w:rsidRPr="001B7B55">
        <w:t>is binding authority that</w:t>
      </w:r>
      <w:r w:rsidR="001B7B55">
        <w:rPr>
          <w:i/>
        </w:rPr>
        <w:t xml:space="preserve"> </w:t>
      </w:r>
      <w:r>
        <w:t>requires dismissal of this case.</w:t>
      </w:r>
      <w:r w:rsidR="001B7B55">
        <w:t xml:space="preserve">  To the contrary, </w:t>
      </w:r>
      <w:r w:rsidR="001B7B55" w:rsidRPr="00D60651">
        <w:rPr>
          <w:i/>
        </w:rPr>
        <w:t>Glucksberg</w:t>
      </w:r>
      <w:r w:rsidR="001B7B55">
        <w:t xml:space="preserve"> has been “effectively overruled” and this Court should apply the </w:t>
      </w:r>
      <w:r w:rsidR="00D60651">
        <w:t xml:space="preserve">reasoned analysis called for by </w:t>
      </w:r>
      <w:r w:rsidR="00CC6198" w:rsidRPr="00CC6198">
        <w:rPr>
          <w:i/>
        </w:rPr>
        <w:t>Obergefell</w:t>
      </w:r>
      <w:r w:rsidR="00CC6198">
        <w:t xml:space="preserve">, </w:t>
      </w:r>
      <w:r w:rsidR="00CC6198" w:rsidRPr="00CC6198">
        <w:rPr>
          <w:i/>
        </w:rPr>
        <w:t>Lawrence</w:t>
      </w:r>
      <w:r w:rsidR="00CC6198">
        <w:t xml:space="preserve">, and </w:t>
      </w:r>
      <w:r w:rsidR="00CC6198" w:rsidRPr="00CC6198">
        <w:rPr>
          <w:i/>
        </w:rPr>
        <w:t>Casey</w:t>
      </w:r>
      <w:r w:rsidR="00CC6198">
        <w:t>.</w:t>
      </w:r>
    </w:p>
    <w:p w:rsidR="005726E9" w:rsidRDefault="001B7B55" w:rsidP="00404137">
      <w:pPr>
        <w:spacing w:line="480" w:lineRule="exact"/>
        <w:ind w:right="-72" w:firstLine="720"/>
        <w:jc w:val="both"/>
      </w:pPr>
      <w:r>
        <w:t xml:space="preserve">Under this </w:t>
      </w:r>
      <w:r w:rsidR="00404137" w:rsidRPr="00404137">
        <w:rPr>
          <w:i/>
        </w:rPr>
        <w:t>Obergefell/Lawrence/Casey</w:t>
      </w:r>
      <w:r w:rsidR="00404137">
        <w:t xml:space="preserve"> </w:t>
      </w:r>
      <w:r>
        <w:t>analysis</w:t>
      </w:r>
      <w:r w:rsidR="00215B13">
        <w:t>, courts are not</w:t>
      </w:r>
      <w:r w:rsidR="00477410">
        <w:t xml:space="preserve"> </w:t>
      </w:r>
      <w:r w:rsidR="00215B13">
        <w:t>restricted</w:t>
      </w:r>
      <w:r w:rsidR="00477410">
        <w:t xml:space="preserve"> to look only to history to determine whether </w:t>
      </w:r>
      <w:r w:rsidR="00215B13">
        <w:t xml:space="preserve">a statute </w:t>
      </w:r>
      <w:r w:rsidR="00477410">
        <w:t xml:space="preserve">violates substantive due process.  “History and tradition are the starting point but not in all cases the ending point of the substantive due process inquiry.”  </w:t>
      </w:r>
      <w:r w:rsidR="00477410" w:rsidRPr="00477410">
        <w:rPr>
          <w:i/>
        </w:rPr>
        <w:t>Lawrence</w:t>
      </w:r>
      <w:r w:rsidR="00477410">
        <w:t xml:space="preserve">, 539 U.S. at 572 (citing </w:t>
      </w:r>
      <w:r w:rsidR="00477410" w:rsidRPr="00477410">
        <w:rPr>
          <w:i/>
        </w:rPr>
        <w:t>County of Sacramento v. Lewis</w:t>
      </w:r>
      <w:r w:rsidR="00477410">
        <w:t>, 523 U.S. 833, 857 (1998)(Kennedy, J., concurring)).</w:t>
      </w:r>
    </w:p>
    <w:p w:rsidR="002A1A9A" w:rsidRDefault="00F76B58" w:rsidP="002A1A9A">
      <w:pPr>
        <w:spacing w:line="480" w:lineRule="exact"/>
        <w:ind w:right="-72" w:firstLine="720"/>
        <w:jc w:val="both"/>
      </w:pPr>
      <w:r>
        <w:t>Freed from the constraints of history and tradition</w:t>
      </w:r>
      <w:r w:rsidR="00215B13">
        <w:t xml:space="preserve"> set forth in </w:t>
      </w:r>
      <w:r w:rsidR="00215B13" w:rsidRPr="00215B13">
        <w:rPr>
          <w:i/>
        </w:rPr>
        <w:t>Glucksberg</w:t>
      </w:r>
      <w:r>
        <w:t xml:space="preserve">, the </w:t>
      </w:r>
      <w:r w:rsidRPr="000121D6">
        <w:rPr>
          <w:i/>
        </w:rPr>
        <w:t>Obergefell</w:t>
      </w:r>
      <w:r>
        <w:t xml:space="preserve"> Court </w:t>
      </w:r>
      <w:r w:rsidR="00215B13">
        <w:t xml:space="preserve">was able to take </w:t>
      </w:r>
      <w:r>
        <w:t xml:space="preserve">into consideration “new insights” regarding how our paradigm has shifted away from perceiving homosexuals as criminals.  </w:t>
      </w:r>
      <w:r w:rsidRPr="00477410">
        <w:rPr>
          <w:i/>
        </w:rPr>
        <w:t xml:space="preserve">Obergefell </w:t>
      </w:r>
      <w:r>
        <w:t xml:space="preserve">135 S. Ct. </w:t>
      </w:r>
      <w:r>
        <w:lastRenderedPageBreak/>
        <w:t xml:space="preserve">at 2595-96.  </w:t>
      </w:r>
      <w:r w:rsidR="00095994">
        <w:t xml:space="preserve">Similarly, in </w:t>
      </w:r>
      <w:r w:rsidR="00095994" w:rsidRPr="00404137">
        <w:rPr>
          <w:i/>
        </w:rPr>
        <w:t>Lawrence</w:t>
      </w:r>
      <w:r w:rsidR="002A1A9A">
        <w:t>, the Court noted a broader,</w:t>
      </w:r>
      <w:r w:rsidR="00095994">
        <w:t xml:space="preserve"> “emerging awareness” that liberty gives substantial protection to adult persons in deciding how to conduct their private lives in matters pertaining to sex.  </w:t>
      </w:r>
      <w:r w:rsidR="00E3122B">
        <w:rPr>
          <w:i/>
        </w:rPr>
        <w:t xml:space="preserve">Lawrence, </w:t>
      </w:r>
      <w:r w:rsidR="00E3122B" w:rsidRPr="00E3122B">
        <w:t>539 U.S. at 572</w:t>
      </w:r>
      <w:r w:rsidR="00095994" w:rsidRPr="00E3122B">
        <w:t>.</w:t>
      </w:r>
      <w:r w:rsidR="002A1A9A">
        <w:t xml:space="preserve">  </w:t>
      </w:r>
      <w:r w:rsidR="00095994">
        <w:t xml:space="preserve">These new insights and this emerging awareness apply just as strongly to the </w:t>
      </w:r>
      <w:r w:rsidR="002A1A9A">
        <w:t>Plaintiffs in the present case.</w:t>
      </w:r>
    </w:p>
    <w:p w:rsidR="00F76B58" w:rsidRDefault="00F76B58" w:rsidP="00F76B58">
      <w:pPr>
        <w:spacing w:line="480" w:lineRule="exact"/>
        <w:ind w:right="-72" w:firstLine="720"/>
        <w:jc w:val="both"/>
      </w:pPr>
      <w:r>
        <w:t xml:space="preserve">For example, Amnesty International, a renowned international human rights nongovernmental organization, voted this past year to support a policy that calls for decriminalization of prostitution and payment for sex.  </w:t>
      </w:r>
      <w:r w:rsidRPr="00EF1F44">
        <w:rPr>
          <w:i/>
        </w:rPr>
        <w:t>See</w:t>
      </w:r>
      <w:r>
        <w:t xml:space="preserve"> Doreen </w:t>
      </w:r>
      <w:proofErr w:type="spellStart"/>
      <w:r>
        <w:t>Carvajal</w:t>
      </w:r>
      <w:proofErr w:type="spellEnd"/>
      <w:r>
        <w:t xml:space="preserve">, </w:t>
      </w:r>
      <w:r w:rsidRPr="00EF1F44">
        <w:rPr>
          <w:i/>
        </w:rPr>
        <w:t>Amnesty International Votes for Policy Calling for Decriminalization of Prostitution</w:t>
      </w:r>
      <w:r>
        <w:rPr>
          <w:i/>
        </w:rPr>
        <w:t xml:space="preserve">, </w:t>
      </w:r>
      <w:r w:rsidRPr="00EF1F44">
        <w:rPr>
          <w:smallCaps/>
        </w:rPr>
        <w:t>N.Y. Times</w:t>
      </w:r>
      <w:r>
        <w:t>, Aug. 11, 2015</w:t>
      </w:r>
      <w:r w:rsidR="004A73CA">
        <w:t xml:space="preserve"> </w:t>
      </w:r>
      <w:r>
        <w:t xml:space="preserve">(available at </w:t>
      </w:r>
      <w:r w:rsidRPr="00EF1F44">
        <w:t>http://www.nytimes.com/2015/08/12/world/europe/amnesty-international-votes-for-policy-calling-for-decriminalization-of-prostitution.html</w:t>
      </w:r>
      <w:r>
        <w:t xml:space="preserve">). Of course, scholars have for years advanced numerous arguments in support of the decriminalization of prostitution.  </w:t>
      </w:r>
      <w:r w:rsidRPr="00450E9F">
        <w:rPr>
          <w:i/>
        </w:rPr>
        <w:t>See, e.g.</w:t>
      </w:r>
      <w:r>
        <w:t xml:space="preserve">, </w:t>
      </w:r>
      <w:r w:rsidRPr="007609AE">
        <w:rPr>
          <w:smallCaps/>
        </w:rPr>
        <w:t>World Health Organization, Consolidated Guidelines on HIV Prevention, Diagnosis, Treatment and Care for Key Populations</w:t>
      </w:r>
      <w:r>
        <w:t xml:space="preserve"> at 91 (July 2014) (presenting a medical argument); David A.J. Richards, </w:t>
      </w:r>
      <w:r w:rsidRPr="00450E9F">
        <w:rPr>
          <w:i/>
        </w:rPr>
        <w:t>Commercial Sex and The Rights of The Person:  A Moral Argument for the Decriminalization of Prostitution</w:t>
      </w:r>
      <w:r>
        <w:t xml:space="preserve">, 127 </w:t>
      </w:r>
      <w:r w:rsidRPr="00E3122B">
        <w:rPr>
          <w:smallCaps/>
        </w:rPr>
        <w:t>U. Pa. L. Rev.</w:t>
      </w:r>
      <w:r>
        <w:t xml:space="preserve"> 1195 (1979)(a moral argument); </w:t>
      </w:r>
      <w:r w:rsidR="003701BF">
        <w:t xml:space="preserve">Julie Pearl, </w:t>
      </w:r>
      <w:r w:rsidR="003701BF" w:rsidRPr="003701BF">
        <w:rPr>
          <w:i/>
        </w:rPr>
        <w:t>The Highest Payment Customers:  Americas Cities and the Costs of Prostitution Control</w:t>
      </w:r>
      <w:r w:rsidR="003701BF">
        <w:t xml:space="preserve">, 38 </w:t>
      </w:r>
      <w:r w:rsidR="003701BF" w:rsidRPr="003701BF">
        <w:rPr>
          <w:smallCaps/>
        </w:rPr>
        <w:t>Hastings L.J.</w:t>
      </w:r>
      <w:r w:rsidR="003701BF">
        <w:t xml:space="preserve"> 769 (1987)</w:t>
      </w:r>
      <w:r w:rsidR="00076B6E">
        <w:t xml:space="preserve"> (a utilitarian argument); Sylvia Law, </w:t>
      </w:r>
      <w:r w:rsidR="00076B6E" w:rsidRPr="00076B6E">
        <w:rPr>
          <w:i/>
        </w:rPr>
        <w:t>Commercial Sex:  Beyond Decriminalization</w:t>
      </w:r>
      <w:r w:rsidR="00076B6E">
        <w:t xml:space="preserve">, 73 </w:t>
      </w:r>
      <w:r w:rsidR="00076B6E" w:rsidRPr="00076B6E">
        <w:rPr>
          <w:smallCaps/>
        </w:rPr>
        <w:t>S. Cal. Rev.</w:t>
      </w:r>
      <w:r w:rsidR="00076B6E">
        <w:t xml:space="preserve"> 523 (2002)(a policy argument);</w:t>
      </w:r>
      <w:r w:rsidR="004F5F36">
        <w:t xml:space="preserve"> and Martha C. Nussbaum, </w:t>
      </w:r>
      <w:r w:rsidR="004F5F36" w:rsidRPr="004F5F36">
        <w:rPr>
          <w:i/>
        </w:rPr>
        <w:t>“Whether From Reason or Prejudice”:  Taking Money for Bodily Services</w:t>
      </w:r>
      <w:r w:rsidR="004F5F36">
        <w:t xml:space="preserve">, 27 </w:t>
      </w:r>
      <w:r w:rsidR="004F5F36" w:rsidRPr="004F5F36">
        <w:rPr>
          <w:smallCaps/>
        </w:rPr>
        <w:t>The Journal of Legal Studies</w:t>
      </w:r>
      <w:r w:rsidR="004F5F36">
        <w:t xml:space="preserve"> 693 (1998) (a philosophical argument).</w:t>
      </w:r>
    </w:p>
    <w:p w:rsidR="002A1A9A" w:rsidRDefault="002A1A9A" w:rsidP="00F76B58">
      <w:pPr>
        <w:spacing w:line="480" w:lineRule="exact"/>
        <w:ind w:right="-72" w:firstLine="720"/>
        <w:jc w:val="both"/>
      </w:pPr>
      <w:r>
        <w:t xml:space="preserve">Under </w:t>
      </w:r>
      <w:r w:rsidRPr="002A1A9A">
        <w:rPr>
          <w:i/>
        </w:rPr>
        <w:t>Obergefell</w:t>
      </w:r>
      <w:r>
        <w:t xml:space="preserve">, this Court should reject </w:t>
      </w:r>
      <w:r w:rsidRPr="002A1A9A">
        <w:rPr>
          <w:i/>
        </w:rPr>
        <w:t>Glucksberg</w:t>
      </w:r>
      <w:r>
        <w:t xml:space="preserve"> and must consider these new insights </w:t>
      </w:r>
      <w:r w:rsidR="007F5893">
        <w:t xml:space="preserve">and this “emerging awareness” </w:t>
      </w:r>
      <w:r>
        <w:t>as it evaluates Plaintiffs’ claims.</w:t>
      </w:r>
      <w:r w:rsidR="007F5893">
        <w:t xml:space="preserve">  These new insights and this “emerging awareness” align</w:t>
      </w:r>
      <w:r w:rsidR="0095750B">
        <w:t xml:space="preserve"> completely</w:t>
      </w:r>
      <w:r w:rsidR="00BB5DAA">
        <w:t xml:space="preserve"> with this nation’s long </w:t>
      </w:r>
      <w:r w:rsidR="007F5893">
        <w:t xml:space="preserve">history and tradition of protecting individuals’ privacy, sexual autonomy, and ability to control their own destinies.  </w:t>
      </w:r>
      <w:r w:rsidR="007F5893" w:rsidRPr="0095750B">
        <w:rPr>
          <w:i/>
        </w:rPr>
        <w:t>See generally</w:t>
      </w:r>
      <w:r w:rsidR="007F5893">
        <w:t xml:space="preserve"> </w:t>
      </w:r>
      <w:r w:rsidR="007F5893" w:rsidRPr="007F5893">
        <w:rPr>
          <w:i/>
        </w:rPr>
        <w:t>Obergefell</w:t>
      </w:r>
      <w:r w:rsidR="007F5893">
        <w:t xml:space="preserve">, 135 S. Ct. 2584; </w:t>
      </w:r>
      <w:r w:rsidR="007F5893" w:rsidRPr="007F5893">
        <w:rPr>
          <w:i/>
        </w:rPr>
        <w:t>Lawrenc</w:t>
      </w:r>
      <w:r w:rsidR="007F5893">
        <w:rPr>
          <w:i/>
        </w:rPr>
        <w:t>e</w:t>
      </w:r>
      <w:r w:rsidR="007F5893">
        <w:t xml:space="preserve">, 539 U.S. 558; </w:t>
      </w:r>
      <w:r w:rsidR="007F5893" w:rsidRPr="007F5893">
        <w:rPr>
          <w:i/>
        </w:rPr>
        <w:t>Casey</w:t>
      </w:r>
      <w:r w:rsidR="007F5893">
        <w:t xml:space="preserve">, 505 U.S. 833; </w:t>
      </w:r>
      <w:r w:rsidR="007F5893" w:rsidRPr="0095750B">
        <w:rPr>
          <w:i/>
        </w:rPr>
        <w:lastRenderedPageBreak/>
        <w:t>Carey v. Population Services, Int’l</w:t>
      </w:r>
      <w:r w:rsidR="007F5893">
        <w:t xml:space="preserve">, 431 U.S. 678 (1971); </w:t>
      </w:r>
      <w:proofErr w:type="spellStart"/>
      <w:r w:rsidR="0095750B" w:rsidRPr="0095750B">
        <w:rPr>
          <w:i/>
        </w:rPr>
        <w:t>Eisenstadt</w:t>
      </w:r>
      <w:proofErr w:type="spellEnd"/>
      <w:r w:rsidR="0095750B" w:rsidRPr="0095750B">
        <w:rPr>
          <w:i/>
        </w:rPr>
        <w:t xml:space="preserve"> v. Baird</w:t>
      </w:r>
      <w:r w:rsidR="0095750B">
        <w:t xml:space="preserve">, 405 U.S. 438 (1972); </w:t>
      </w:r>
      <w:r w:rsidR="0095750B" w:rsidRPr="0095750B">
        <w:rPr>
          <w:i/>
        </w:rPr>
        <w:t>Griswold v. Connecticut</w:t>
      </w:r>
      <w:r w:rsidR="0095750B">
        <w:t>, 381 U.S. 479 (1965).</w:t>
      </w:r>
    </w:p>
    <w:p w:rsidR="00D77C7D" w:rsidRPr="008A6B84" w:rsidRDefault="00D77C7D" w:rsidP="008A6B84">
      <w:pPr>
        <w:numPr>
          <w:ilvl w:val="0"/>
          <w:numId w:val="35"/>
        </w:numPr>
        <w:spacing w:line="480" w:lineRule="exact"/>
        <w:ind w:left="720" w:right="-72" w:hanging="360"/>
        <w:jc w:val="both"/>
        <w:rPr>
          <w:b/>
        </w:rPr>
      </w:pPr>
      <w:r w:rsidRPr="008A6B84">
        <w:rPr>
          <w:b/>
        </w:rPr>
        <w:t xml:space="preserve">Under </w:t>
      </w:r>
      <w:r w:rsidRPr="008A6B84">
        <w:rPr>
          <w:b/>
          <w:i/>
        </w:rPr>
        <w:t>Obergefell</w:t>
      </w:r>
      <w:r w:rsidRPr="008A6B84">
        <w:rPr>
          <w:b/>
        </w:rPr>
        <w:t xml:space="preserve">, plaintiffs need not </w:t>
      </w:r>
      <w:r w:rsidR="008A6B84">
        <w:rPr>
          <w:b/>
        </w:rPr>
        <w:t xml:space="preserve">rely upon the democratic process to protect their constitutional liberties. </w:t>
      </w:r>
    </w:p>
    <w:p w:rsidR="00D752E8" w:rsidRDefault="00D752E8" w:rsidP="00267F48">
      <w:pPr>
        <w:spacing w:line="480" w:lineRule="exact"/>
        <w:ind w:right="-72" w:firstLine="720"/>
        <w:jc w:val="both"/>
      </w:pPr>
      <w:r>
        <w:t xml:space="preserve">Lastly, </w:t>
      </w:r>
      <w:r w:rsidRPr="007D4E17">
        <w:rPr>
          <w:i/>
        </w:rPr>
        <w:t>Obergefell</w:t>
      </w:r>
      <w:r>
        <w:t xml:space="preserve"> </w:t>
      </w:r>
      <w:r w:rsidR="007D4E17">
        <w:t xml:space="preserve">affects the present case because it </w:t>
      </w:r>
      <w:r>
        <w:t>forecloses any attempt by the State to argue that this constitutional issue should be resolved through the democratic process rather than in the courts.</w:t>
      </w:r>
    </w:p>
    <w:p w:rsidR="00671E13" w:rsidRDefault="00D752E8" w:rsidP="00267F48">
      <w:pPr>
        <w:spacing w:line="480" w:lineRule="exact"/>
        <w:ind w:right="-72" w:firstLine="720"/>
        <w:jc w:val="both"/>
      </w:pPr>
      <w:r>
        <w:t>In conjunction with the original briefing, t</w:t>
      </w:r>
      <w:r w:rsidR="00267F48">
        <w:t>he State requested that the Court take judicial notice of certain ballot initiatives concerning the enforcement of prostitution laws in San Francisco and Berkeley.  (</w:t>
      </w:r>
      <w:r w:rsidR="00267F48" w:rsidRPr="00267F48">
        <w:rPr>
          <w:i/>
        </w:rPr>
        <w:t>See</w:t>
      </w:r>
      <w:r w:rsidR="00267F48">
        <w:t xml:space="preserve"> Request for Judicial Notice, Doc. 22, ¶¶3-6; </w:t>
      </w:r>
      <w:r w:rsidR="00267F48" w:rsidRPr="00267F48">
        <w:rPr>
          <w:i/>
        </w:rPr>
        <w:t>see also</w:t>
      </w:r>
      <w:r w:rsidR="00267F48">
        <w:t xml:space="preserve"> Motion, Doc. 21, p. 8).  The State further argues that “there exists no trend among the states towards [prostitution’s] legalization.”  (Motion, Doc. 21, p. 9).</w:t>
      </w:r>
    </w:p>
    <w:p w:rsidR="002277AD" w:rsidRDefault="002277AD" w:rsidP="00267F48">
      <w:pPr>
        <w:spacing w:line="480" w:lineRule="exact"/>
        <w:ind w:right="-72" w:firstLine="720"/>
        <w:jc w:val="both"/>
      </w:pPr>
      <w:r>
        <w:t xml:space="preserve">But, like other landmark constitutional cases, </w:t>
      </w:r>
      <w:r w:rsidRPr="007D4E17">
        <w:rPr>
          <w:i/>
        </w:rPr>
        <w:t>Obergefell</w:t>
      </w:r>
      <w:r>
        <w:t xml:space="preserve"> shows that individuals need not wait for the majoritarian legislative process to protect their constitutional rights.</w:t>
      </w:r>
    </w:p>
    <w:p w:rsidR="004A73CA" w:rsidRDefault="00AE59B6" w:rsidP="00267F48">
      <w:pPr>
        <w:spacing w:line="480" w:lineRule="exact"/>
        <w:ind w:right="-72" w:firstLine="720"/>
        <w:jc w:val="both"/>
      </w:pPr>
      <w:r>
        <w:t xml:space="preserve">The Supreme Court granted certiorari in </w:t>
      </w:r>
      <w:r w:rsidRPr="007D4E17">
        <w:rPr>
          <w:i/>
        </w:rPr>
        <w:t>Obergefell</w:t>
      </w:r>
      <w:r>
        <w:t xml:space="preserve"> only after </w:t>
      </w:r>
      <w:r w:rsidR="00691CEF">
        <w:t xml:space="preserve">the Sixth Circuit Court of Appeals in the same-sex marriage cases notoriously denied same-sex couples their Fourteenth Amendment rights because </w:t>
      </w:r>
      <w:r>
        <w:t xml:space="preserve">that court thought it </w:t>
      </w:r>
      <w:r w:rsidR="00691CEF">
        <w:t xml:space="preserve">would be </w:t>
      </w:r>
      <w:r w:rsidR="00671E13">
        <w:t>“</w:t>
      </w:r>
      <w:r w:rsidR="00691CEF">
        <w:t>[b]</w:t>
      </w:r>
      <w:proofErr w:type="spellStart"/>
      <w:r w:rsidR="007D4E17">
        <w:t>etter</w:t>
      </w:r>
      <w:proofErr w:type="spellEnd"/>
      <w:r w:rsidR="007D4E17">
        <w:t xml:space="preserve"> in </w:t>
      </w:r>
      <w:proofErr w:type="spellStart"/>
      <w:r w:rsidR="007D4E17">
        <w:t>th</w:t>
      </w:r>
      <w:proofErr w:type="spellEnd"/>
      <w:r w:rsidR="007D4E17">
        <w:t>[at]</w:t>
      </w:r>
      <w:r w:rsidR="00671E13">
        <w:t xml:space="preserve"> instance</w:t>
      </w:r>
      <w:r w:rsidR="00691CEF">
        <w:t xml:space="preserve"> * * * </w:t>
      </w:r>
      <w:r w:rsidR="00671E13">
        <w:t>to allow change through th</w:t>
      </w:r>
      <w:r w:rsidR="007D4E17">
        <w:t>e customary political processes</w:t>
      </w:r>
      <w:r w:rsidR="00671E13">
        <w:t>”</w:t>
      </w:r>
      <w:r w:rsidR="007D4E17">
        <w:t>.</w:t>
      </w:r>
      <w:r w:rsidR="00691CEF">
        <w:t xml:space="preserve">  </w:t>
      </w:r>
      <w:proofErr w:type="spellStart"/>
      <w:r w:rsidR="00691CEF" w:rsidRPr="00691CEF">
        <w:rPr>
          <w:i/>
        </w:rPr>
        <w:t>DeBoer</w:t>
      </w:r>
      <w:proofErr w:type="spellEnd"/>
      <w:r w:rsidR="00691CEF" w:rsidRPr="00691CEF">
        <w:rPr>
          <w:i/>
        </w:rPr>
        <w:t xml:space="preserve"> v. Snyder</w:t>
      </w:r>
      <w:r w:rsidR="00691CEF">
        <w:t>, 772 F.3d 388,</w:t>
      </w:r>
      <w:r w:rsidR="00671E13">
        <w:t xml:space="preserve"> 421</w:t>
      </w:r>
      <w:r w:rsidR="00691CEF">
        <w:t xml:space="preserve"> (</w:t>
      </w:r>
      <w:r w:rsidR="007436F0">
        <w:t xml:space="preserve">6th Cir. </w:t>
      </w:r>
      <w:r w:rsidR="00691CEF">
        <w:t>2014)(</w:t>
      </w:r>
      <w:proofErr w:type="spellStart"/>
      <w:r w:rsidR="00691CEF">
        <w:t>rev’d</w:t>
      </w:r>
      <w:proofErr w:type="spellEnd"/>
      <w:r w:rsidR="00691CEF">
        <w:t xml:space="preserve"> by </w:t>
      </w:r>
      <w:r w:rsidR="00691CEF" w:rsidRPr="0068447E">
        <w:rPr>
          <w:i/>
        </w:rPr>
        <w:t>Obergefell v. Hodges</w:t>
      </w:r>
      <w:r w:rsidR="00691CEF">
        <w:t>, 135 S. Ct. 2584 (2014))</w:t>
      </w:r>
      <w:r w:rsidR="007436F0">
        <w:t>.</w:t>
      </w:r>
    </w:p>
    <w:p w:rsidR="00671E13" w:rsidRDefault="007436F0" w:rsidP="00267F48">
      <w:pPr>
        <w:spacing w:line="480" w:lineRule="exact"/>
        <w:ind w:right="-72" w:firstLine="720"/>
        <w:jc w:val="both"/>
      </w:pPr>
      <w:r>
        <w:t>The dissent</w:t>
      </w:r>
      <w:r w:rsidR="00AE59B6">
        <w:t>ing judge on that panel</w:t>
      </w:r>
      <w:r>
        <w:t xml:space="preserve"> chided the majority’s reluctance to protect constitutional rights, writing that “</w:t>
      </w:r>
      <w:r w:rsidR="00671E13">
        <w:t>[</w:t>
      </w:r>
      <w:proofErr w:type="spellStart"/>
      <w:r w:rsidR="00671E13">
        <w:t>i</w:t>
      </w:r>
      <w:proofErr w:type="spellEnd"/>
      <w:r w:rsidR="00671E13">
        <w:t>]</w:t>
      </w:r>
      <w:proofErr w:type="spellStart"/>
      <w:r w:rsidR="00671E13">
        <w:t>nstead</w:t>
      </w:r>
      <w:proofErr w:type="spellEnd"/>
      <w:r w:rsidR="00671E13">
        <w:t xml:space="preserve"> of recognizing the plaintiffs as persons, suffering actual harm * * *, my colleagues view the plaintiffs as social </w:t>
      </w:r>
      <w:r w:rsidR="00691CEF">
        <w:t>activists</w:t>
      </w:r>
      <w:r w:rsidR="00671E13">
        <w:t xml:space="preserve"> who have some</w:t>
      </w:r>
      <w:r w:rsidR="00691CEF">
        <w:t>how stumbled into federal court, inadvisably, when they should be out campaigning…”</w:t>
      </w:r>
      <w:r>
        <w:t xml:space="preserve">  </w:t>
      </w:r>
      <w:proofErr w:type="spellStart"/>
      <w:r w:rsidRPr="0068447E">
        <w:rPr>
          <w:i/>
        </w:rPr>
        <w:t>DeBoer</w:t>
      </w:r>
      <w:proofErr w:type="spellEnd"/>
      <w:r w:rsidR="007D4E17">
        <w:rPr>
          <w:i/>
        </w:rPr>
        <w:t>,</w:t>
      </w:r>
      <w:r>
        <w:t xml:space="preserve"> 772 F.3d at 421 (</w:t>
      </w:r>
      <w:proofErr w:type="spellStart"/>
      <w:r>
        <w:t>Daughtrey</w:t>
      </w:r>
      <w:proofErr w:type="spellEnd"/>
      <w:r>
        <w:t>, J., dissenting).</w:t>
      </w:r>
    </w:p>
    <w:p w:rsidR="0068447E" w:rsidRDefault="00AE59B6" w:rsidP="00267F48">
      <w:pPr>
        <w:spacing w:line="480" w:lineRule="exact"/>
        <w:ind w:right="-72" w:firstLine="720"/>
        <w:jc w:val="both"/>
      </w:pPr>
      <w:r>
        <w:t xml:space="preserve">After granting </w:t>
      </w:r>
      <w:r w:rsidR="0068447E">
        <w:t xml:space="preserve">certiorari, 135  S. Ct. 1040 (2015), </w:t>
      </w:r>
      <w:r>
        <w:t>the Supreme Court</w:t>
      </w:r>
      <w:r w:rsidR="0068447E">
        <w:t xml:space="preserve"> promptly removed all doubt that federal courts need not wait for the democratic process to prevent a deprivation of an individual’s Fourteenth Amendment rights.  As the </w:t>
      </w:r>
      <w:r w:rsidR="0068447E" w:rsidRPr="007436F0">
        <w:rPr>
          <w:i/>
        </w:rPr>
        <w:t>Obergefell</w:t>
      </w:r>
      <w:r w:rsidR="0068447E">
        <w:t xml:space="preserve"> Court wrote, </w:t>
      </w:r>
      <w:r w:rsidR="0068447E">
        <w:lastRenderedPageBreak/>
        <w:t xml:space="preserve">“the Constitution contemplates that democracy is the appropriate process for change, so long as that process does not abridge fundamental rights.”  </w:t>
      </w:r>
      <w:r w:rsidR="0068447E" w:rsidRPr="0068447E">
        <w:rPr>
          <w:i/>
        </w:rPr>
        <w:t>Obergefell</w:t>
      </w:r>
      <w:r w:rsidR="0068447E">
        <w:t xml:space="preserve">, 135 S. Ct. at 2605.  </w:t>
      </w:r>
      <w:r w:rsidR="00E3122B">
        <w:t>And</w:t>
      </w:r>
      <w:r w:rsidR="0068447E">
        <w:t xml:space="preserve">, “when the rights of persons are violated, the Constitution requires redress by the courts, notwithstanding the more general value of democratic </w:t>
      </w:r>
      <w:proofErr w:type="spellStart"/>
      <w:r w:rsidR="0068447E">
        <w:t>decisionmaking</w:t>
      </w:r>
      <w:proofErr w:type="spellEnd"/>
      <w:r w:rsidR="0068447E">
        <w:t xml:space="preserve">.”  </w:t>
      </w:r>
      <w:r w:rsidR="0068447E" w:rsidRPr="0068447E">
        <w:rPr>
          <w:i/>
        </w:rPr>
        <w:t>Id</w:t>
      </w:r>
      <w:r w:rsidR="0068447E">
        <w:t>. (internal citations omitted).</w:t>
      </w:r>
    </w:p>
    <w:p w:rsidR="00D77C7D" w:rsidRDefault="007436F0" w:rsidP="007436F0">
      <w:pPr>
        <w:spacing w:line="480" w:lineRule="exact"/>
        <w:ind w:right="-72" w:firstLine="720"/>
        <w:jc w:val="both"/>
      </w:pPr>
      <w:r>
        <w:t xml:space="preserve">The same rationale applies to the present case.  Section 647(b) of the California Penal Code infringes upon Plaintiffs’ substantive due process rights.  The Plaintiffs need not wait for the democratic process to </w:t>
      </w:r>
      <w:r w:rsidR="000358A1">
        <w:t>repeal this statute</w:t>
      </w:r>
      <w:r>
        <w:t xml:space="preserve"> because this Court is vested with the power to declare the statute unconstitutional and to remedy</w:t>
      </w:r>
      <w:r w:rsidR="000358A1">
        <w:t xml:space="preserve"> immediately</w:t>
      </w:r>
      <w:r>
        <w:t xml:space="preserve"> the </w:t>
      </w:r>
      <w:r w:rsidR="00E3122B">
        <w:t xml:space="preserve">irreparable </w:t>
      </w:r>
      <w:r>
        <w:t>harm that Plaintiffs continue to suffer.</w:t>
      </w:r>
    </w:p>
    <w:p w:rsidR="00D77C7D" w:rsidRPr="002D0443" w:rsidRDefault="002D0443" w:rsidP="003D75F9">
      <w:pPr>
        <w:numPr>
          <w:ilvl w:val="0"/>
          <w:numId w:val="35"/>
        </w:numPr>
        <w:spacing w:line="480" w:lineRule="exact"/>
        <w:ind w:left="0" w:right="-72" w:firstLine="0"/>
        <w:jc w:val="both"/>
        <w:rPr>
          <w:b/>
        </w:rPr>
      </w:pPr>
      <w:r w:rsidRPr="002D0443">
        <w:rPr>
          <w:b/>
        </w:rPr>
        <w:t>Conclusion</w:t>
      </w:r>
    </w:p>
    <w:p w:rsidR="003D75F9" w:rsidRDefault="000358A1" w:rsidP="00435D74">
      <w:pPr>
        <w:spacing w:line="480" w:lineRule="exact"/>
        <w:ind w:right="-72" w:firstLine="720"/>
        <w:jc w:val="both"/>
      </w:pPr>
      <w:r>
        <w:t xml:space="preserve">Like </w:t>
      </w:r>
      <w:r w:rsidRPr="000358A1">
        <w:rPr>
          <w:i/>
        </w:rPr>
        <w:t>Lawrence</w:t>
      </w:r>
      <w:r>
        <w:t xml:space="preserve">, </w:t>
      </w:r>
      <w:r w:rsidRPr="000358A1">
        <w:rPr>
          <w:i/>
        </w:rPr>
        <w:t>Casey</w:t>
      </w:r>
      <w:r>
        <w:t xml:space="preserve">, and the prior substantive due process cases regarding sexuality and intimacy, </w:t>
      </w:r>
      <w:r w:rsidRPr="000358A1">
        <w:rPr>
          <w:i/>
        </w:rPr>
        <w:t>Obergefell</w:t>
      </w:r>
      <w:r>
        <w:t xml:space="preserve"> protects a person’s liberty by </w:t>
      </w:r>
      <w:r w:rsidR="00E3122B">
        <w:t>preventing</w:t>
      </w:r>
      <w:r>
        <w:t xml:space="preserve"> </w:t>
      </w:r>
      <w:r w:rsidR="00216456">
        <w:t>governmental</w:t>
      </w:r>
      <w:r w:rsidR="00B922D4">
        <w:t xml:space="preserve"> intrusion into </w:t>
      </w:r>
      <w:r w:rsidR="00E3122B">
        <w:t xml:space="preserve">his or her </w:t>
      </w:r>
      <w:r w:rsidR="00B922D4">
        <w:t xml:space="preserve">private, intimate, and sexual </w:t>
      </w:r>
      <w:r w:rsidR="00E3122B">
        <w:t>life</w:t>
      </w:r>
      <w:r w:rsidR="00B922D4">
        <w:t>.</w:t>
      </w:r>
      <w:r w:rsidR="001D36A2">
        <w:t xml:space="preserve">  Plaintiffs seek only that same protection.</w:t>
      </w:r>
    </w:p>
    <w:p w:rsidR="005637AF" w:rsidRDefault="003D75F9" w:rsidP="002D0443">
      <w:pPr>
        <w:spacing w:line="480" w:lineRule="exact"/>
        <w:ind w:right="-72" w:firstLine="720"/>
        <w:jc w:val="both"/>
      </w:pPr>
      <w:r>
        <w:br w:type="page"/>
      </w:r>
      <w:r w:rsidR="002D0443">
        <w:lastRenderedPageBreak/>
        <w:t>For these reasons, together with the reasons originally set forth in Plaintiffs’ Opposition Brief, the Court should deny the Defendants’ Motion to Dismiss.</w:t>
      </w:r>
    </w:p>
    <w:p w:rsidR="002D0443" w:rsidRDefault="002D0443" w:rsidP="004E43BE"/>
    <w:p w:rsidR="002D0443" w:rsidRDefault="002D0443" w:rsidP="004E43BE">
      <w:r>
        <w:t>D</w:t>
      </w:r>
      <w:r w:rsidR="00300A5B">
        <w:t xml:space="preserve">ated:  </w:t>
      </w:r>
      <w:r w:rsidR="002143B3">
        <w:t>January 15, 2016</w:t>
      </w:r>
      <w:r w:rsidR="004E43BE">
        <w:tab/>
      </w:r>
      <w:r w:rsidR="004E43BE">
        <w:tab/>
      </w:r>
      <w:r w:rsidR="004E43BE">
        <w:tab/>
      </w:r>
      <w:r>
        <w:t>Respectfully submitted,</w:t>
      </w:r>
    </w:p>
    <w:p w:rsidR="002D0443" w:rsidRDefault="002D0443" w:rsidP="004E43BE"/>
    <w:p w:rsidR="004E43BE" w:rsidRPr="002D0443" w:rsidRDefault="004E43BE" w:rsidP="004E43BE">
      <w:pPr>
        <w:ind w:left="4320"/>
        <w:rPr>
          <w:smallCaps/>
        </w:rPr>
      </w:pPr>
      <w:r w:rsidRPr="002D0443">
        <w:rPr>
          <w:smallCaps/>
        </w:rPr>
        <w:t xml:space="preserve">H. </w:t>
      </w:r>
      <w:r w:rsidR="002D0443" w:rsidRPr="002D0443">
        <w:rPr>
          <w:smallCaps/>
        </w:rPr>
        <w:t>Louis Sirkin</w:t>
      </w:r>
    </w:p>
    <w:p w:rsidR="002D0443" w:rsidRDefault="002D0443" w:rsidP="004E43BE">
      <w:pPr>
        <w:ind w:left="4320"/>
      </w:pPr>
    </w:p>
    <w:p w:rsidR="002D0443" w:rsidRPr="002D0443" w:rsidRDefault="002D0443" w:rsidP="004E43BE">
      <w:pPr>
        <w:ind w:left="4320"/>
        <w:rPr>
          <w:smallCaps/>
        </w:rPr>
      </w:pPr>
      <w:r w:rsidRPr="002D0443">
        <w:rPr>
          <w:smallCaps/>
        </w:rPr>
        <w:t>/s/ H. Louis Sirkin</w:t>
      </w:r>
    </w:p>
    <w:p w:rsidR="002D0443" w:rsidRDefault="002D0443" w:rsidP="004E43BE">
      <w:pPr>
        <w:ind w:left="4320"/>
      </w:pPr>
    </w:p>
    <w:p w:rsidR="004E43BE" w:rsidRPr="002D0443" w:rsidRDefault="002D0443" w:rsidP="004E43BE">
      <w:pPr>
        <w:ind w:left="4320"/>
        <w:rPr>
          <w:smallCaps/>
        </w:rPr>
      </w:pPr>
      <w:r w:rsidRPr="002D0443">
        <w:rPr>
          <w:smallCaps/>
        </w:rPr>
        <w:t>Brian P. O’Connor</w:t>
      </w:r>
    </w:p>
    <w:p w:rsidR="004E43BE" w:rsidRPr="002D0443" w:rsidRDefault="004E43BE" w:rsidP="004E43BE">
      <w:pPr>
        <w:rPr>
          <w:smallCaps/>
        </w:rPr>
      </w:pPr>
      <w:r w:rsidRPr="002D0443">
        <w:rPr>
          <w:smallCaps/>
        </w:rPr>
        <w:tab/>
      </w:r>
      <w:r w:rsidRPr="002D0443">
        <w:rPr>
          <w:smallCaps/>
        </w:rPr>
        <w:tab/>
      </w:r>
      <w:r w:rsidRPr="002D0443">
        <w:rPr>
          <w:smallCaps/>
        </w:rPr>
        <w:tab/>
      </w:r>
      <w:r w:rsidRPr="002D0443">
        <w:rPr>
          <w:smallCaps/>
        </w:rPr>
        <w:tab/>
      </w:r>
      <w:r w:rsidRPr="002D0443">
        <w:rPr>
          <w:smallCaps/>
        </w:rPr>
        <w:tab/>
      </w:r>
      <w:r w:rsidRPr="002D0443">
        <w:rPr>
          <w:smallCaps/>
        </w:rPr>
        <w:tab/>
        <w:t xml:space="preserve">D. </w:t>
      </w:r>
      <w:r w:rsidR="002D0443" w:rsidRPr="002D0443">
        <w:rPr>
          <w:smallCaps/>
        </w:rPr>
        <w:t xml:space="preserve">Gill </w:t>
      </w:r>
      <w:proofErr w:type="spellStart"/>
      <w:r w:rsidR="002D0443" w:rsidRPr="002D0443">
        <w:rPr>
          <w:smallCaps/>
        </w:rPr>
        <w:t>Sperlein</w:t>
      </w:r>
      <w:proofErr w:type="spellEnd"/>
    </w:p>
    <w:p w:rsidR="004E43BE" w:rsidRPr="0008736C" w:rsidRDefault="004E43BE" w:rsidP="004E43BE">
      <w:pPr>
        <w:ind w:left="4320"/>
      </w:pPr>
    </w:p>
    <w:p w:rsidR="004E43BE" w:rsidRPr="002D0443" w:rsidRDefault="004E43BE" w:rsidP="004E43BE">
      <w:pPr>
        <w:ind w:left="4320"/>
        <w:rPr>
          <w:i/>
        </w:rPr>
      </w:pPr>
      <w:r w:rsidRPr="002D0443">
        <w:rPr>
          <w:i/>
        </w:rPr>
        <w:t>Attorneys for Plaintiffs</w:t>
      </w:r>
    </w:p>
    <w:p w:rsidR="002D0443" w:rsidRDefault="002D0443" w:rsidP="004E43BE">
      <w:pPr>
        <w:ind w:left="4320"/>
        <w:rPr>
          <w:i/>
        </w:rPr>
      </w:pPr>
      <w:r w:rsidRPr="002D0443">
        <w:rPr>
          <w:i/>
        </w:rPr>
        <w:t>Erotic Service Providers Legal Education &amp; Research Project;</w:t>
      </w:r>
      <w:r>
        <w:rPr>
          <w:i/>
        </w:rPr>
        <w:t xml:space="preserve"> </w:t>
      </w:r>
      <w:r w:rsidR="004E43BE" w:rsidRPr="002D0443">
        <w:rPr>
          <w:i/>
        </w:rPr>
        <w:t>K.L.E.S.;</w:t>
      </w:r>
      <w:r>
        <w:rPr>
          <w:i/>
        </w:rPr>
        <w:t xml:space="preserve"> </w:t>
      </w:r>
      <w:r w:rsidR="004E43BE" w:rsidRPr="002D0443">
        <w:rPr>
          <w:i/>
        </w:rPr>
        <w:t>CV.;</w:t>
      </w:r>
      <w:r>
        <w:rPr>
          <w:i/>
        </w:rPr>
        <w:t xml:space="preserve"> J.B.;</w:t>
      </w:r>
    </w:p>
    <w:p w:rsidR="003839DA" w:rsidRPr="002D0443" w:rsidRDefault="002D0443" w:rsidP="004E43BE">
      <w:pPr>
        <w:ind w:left="4320"/>
        <w:rPr>
          <w:i/>
        </w:rPr>
      </w:pPr>
      <w:r>
        <w:rPr>
          <w:i/>
        </w:rPr>
        <w:t>a</w:t>
      </w:r>
      <w:r w:rsidR="004E43BE" w:rsidRPr="002D0443">
        <w:rPr>
          <w:i/>
        </w:rPr>
        <w:t>nd</w:t>
      </w:r>
      <w:r>
        <w:rPr>
          <w:i/>
        </w:rPr>
        <w:t xml:space="preserve"> </w:t>
      </w:r>
      <w:r w:rsidRPr="002D0443">
        <w:rPr>
          <w:i/>
        </w:rPr>
        <w:t>John Doe</w:t>
      </w:r>
    </w:p>
    <w:p w:rsidR="00047C8D" w:rsidRPr="00FE6A61" w:rsidRDefault="00DF06FE" w:rsidP="00047C8D">
      <w:pPr>
        <w:rPr>
          <w:sz w:val="16"/>
          <w:szCs w:val="16"/>
        </w:rPr>
      </w:pPr>
      <w:r>
        <w:rPr>
          <w:sz w:val="16"/>
          <w:szCs w:val="16"/>
        </w:rPr>
        <w:t>591324.4</w:t>
      </w:r>
    </w:p>
    <w:sectPr w:rsidR="00047C8D" w:rsidRPr="00FE6A61" w:rsidSect="00505E77">
      <w:footerReference w:type="default" r:id="rId13"/>
      <w:pgSz w:w="12240" w:h="15840" w:code="1"/>
      <w:pgMar w:top="1440" w:right="1440" w:bottom="720" w:left="1800" w:header="720" w:footer="36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27DB">
      <w:pPr>
        <w:spacing w:line="240" w:lineRule="auto"/>
      </w:pPr>
      <w:r>
        <w:separator/>
      </w:r>
    </w:p>
  </w:endnote>
  <w:endnote w:type="continuationSeparator" w:id="0">
    <w:p w:rsidR="00000000" w:rsidRDefault="008F2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5B" w:rsidRDefault="0001431A" w:rsidP="00CC6775">
    <w:pPr>
      <w:pStyle w:val="Footer"/>
      <w:jc w:val="right"/>
      <w:rPr>
        <w:sz w:val="20"/>
        <w:szCs w:val="20"/>
      </w:rPr>
    </w:pPr>
    <w:r>
      <w:rPr>
        <w:sz w:val="20"/>
        <w:szCs w:val="20"/>
      </w:rPr>
      <w:t>Plaintiffs’ Supplemental Brief</w:t>
    </w:r>
    <w:r w:rsidR="00300A5B">
      <w:rPr>
        <w:sz w:val="20"/>
        <w:szCs w:val="20"/>
      </w:rPr>
      <w:t xml:space="preserve"> </w:t>
    </w:r>
  </w:p>
  <w:p w:rsidR="00CC6775" w:rsidRDefault="00300A5B" w:rsidP="00CC6775">
    <w:pPr>
      <w:pStyle w:val="Footer"/>
      <w:jc w:val="right"/>
      <w:rPr>
        <w:sz w:val="20"/>
        <w:szCs w:val="20"/>
      </w:rPr>
    </w:pPr>
    <w:r>
      <w:rPr>
        <w:sz w:val="20"/>
        <w:szCs w:val="20"/>
      </w:rPr>
      <w:t>Case No.: 4:15-CV-01007 JSW</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BE" w:rsidRPr="003E3FD2" w:rsidRDefault="004E43BE">
    <w:pPr>
      <w:pStyle w:val="Footer"/>
      <w:jc w:val="center"/>
      <w:rPr>
        <w:sz w:val="20"/>
        <w:szCs w:val="20"/>
      </w:rPr>
    </w:pPr>
    <w:r w:rsidRPr="003E3FD2">
      <w:rPr>
        <w:rStyle w:val="PageNumber"/>
        <w:sz w:val="20"/>
        <w:szCs w:val="20"/>
      </w:rPr>
      <w:fldChar w:fldCharType="begin"/>
    </w:r>
    <w:r w:rsidRPr="003E3FD2">
      <w:rPr>
        <w:rStyle w:val="PageNumber"/>
        <w:sz w:val="20"/>
        <w:szCs w:val="20"/>
      </w:rPr>
      <w:instrText xml:space="preserve"> PAGE </w:instrText>
    </w:r>
    <w:r w:rsidRPr="003E3FD2">
      <w:rPr>
        <w:rStyle w:val="PageNumber"/>
        <w:sz w:val="20"/>
        <w:szCs w:val="20"/>
      </w:rPr>
      <w:fldChar w:fldCharType="separate"/>
    </w:r>
    <w:r>
      <w:rPr>
        <w:rStyle w:val="PageNumber"/>
        <w:noProof/>
        <w:sz w:val="20"/>
        <w:szCs w:val="20"/>
      </w:rPr>
      <w:t>- 1 -</w:t>
    </w:r>
    <w:r w:rsidRPr="003E3FD2">
      <w:rPr>
        <w:rStyle w:val="PageNumber"/>
        <w:sz w:val="20"/>
        <w:szCs w:val="20"/>
      </w:rPr>
      <w:fldChar w:fldCharType="end"/>
    </w:r>
    <w:r w:rsidRPr="003E3FD2">
      <w:rPr>
        <w:rStyle w:val="PageNumber"/>
        <w:sz w:val="20"/>
        <w:szCs w:val="20"/>
      </w:rPr>
      <w:t xml:space="preserve"> </w:t>
    </w:r>
  </w:p>
  <w:p w:rsidR="004E43BE" w:rsidRPr="003E3FD2" w:rsidRDefault="004E43BE">
    <w:pPr>
      <w:pStyle w:val="Footer"/>
      <w:pBdr>
        <w:top w:val="single" w:sz="4" w:space="1" w:color="auto"/>
      </w:pBdr>
      <w:jc w:val="center"/>
      <w:rPr>
        <w:sz w:val="20"/>
        <w:szCs w:val="20"/>
      </w:rPr>
    </w:pPr>
    <w:r w:rsidRPr="003E3FD2">
      <w:rPr>
        <w:sz w:val="20"/>
        <w:szCs w:val="20"/>
      </w:rPr>
      <w:t>CROSS-DEFENDANTS’ DEMURRER TO CROSS-CLAIMANT’S COMPLAINT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77" w:rsidRDefault="00505E77" w:rsidP="00047C8D">
    <w:pPr>
      <w:pStyle w:val="Footer"/>
      <w:jc w:val="center"/>
      <w:rPr>
        <w:rStyle w:val="PageNumber"/>
        <w:sz w:val="20"/>
        <w:szCs w:val="20"/>
      </w:rPr>
    </w:pPr>
    <w:r w:rsidRPr="00961172">
      <w:rPr>
        <w:rStyle w:val="PageNumber"/>
        <w:sz w:val="20"/>
        <w:szCs w:val="20"/>
      </w:rPr>
      <w:fldChar w:fldCharType="begin"/>
    </w:r>
    <w:r w:rsidRPr="00961172">
      <w:rPr>
        <w:rStyle w:val="PageNumber"/>
        <w:sz w:val="20"/>
        <w:szCs w:val="20"/>
      </w:rPr>
      <w:instrText xml:space="preserve"> PAGE </w:instrText>
    </w:r>
    <w:r w:rsidRPr="00961172">
      <w:rPr>
        <w:rStyle w:val="PageNumber"/>
        <w:sz w:val="20"/>
        <w:szCs w:val="20"/>
      </w:rPr>
      <w:fldChar w:fldCharType="separate"/>
    </w:r>
    <w:r w:rsidR="008F27DB">
      <w:rPr>
        <w:rStyle w:val="PageNumber"/>
        <w:noProof/>
        <w:sz w:val="20"/>
        <w:szCs w:val="20"/>
      </w:rPr>
      <w:t>iii</w:t>
    </w:r>
    <w:r w:rsidRPr="00961172">
      <w:rPr>
        <w:rStyle w:val="PageNumber"/>
        <w:sz w:val="20"/>
        <w:szCs w:val="20"/>
      </w:rPr>
      <w:fldChar w:fldCharType="end"/>
    </w:r>
  </w:p>
  <w:p w:rsidR="00505E77" w:rsidRDefault="00505E77" w:rsidP="00CC6775">
    <w:pPr>
      <w:pStyle w:val="Footer"/>
      <w:jc w:val="right"/>
      <w:rPr>
        <w:sz w:val="20"/>
        <w:szCs w:val="20"/>
      </w:rPr>
    </w:pPr>
    <w:r>
      <w:rPr>
        <w:sz w:val="20"/>
        <w:szCs w:val="20"/>
      </w:rPr>
      <w:t xml:space="preserve">Plaintiffs’ Supplemental Brief </w:t>
    </w:r>
  </w:p>
  <w:p w:rsidR="00505E77" w:rsidRDefault="00505E77" w:rsidP="00CC6775">
    <w:pPr>
      <w:pStyle w:val="Footer"/>
      <w:jc w:val="right"/>
      <w:rPr>
        <w:sz w:val="20"/>
        <w:szCs w:val="20"/>
      </w:rPr>
    </w:pPr>
    <w:r>
      <w:rPr>
        <w:sz w:val="20"/>
        <w:szCs w:val="20"/>
      </w:rPr>
      <w:t>Case No.: 4:15-CV-01007 JSW</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77" w:rsidRDefault="00505E77" w:rsidP="00047C8D">
    <w:pPr>
      <w:pStyle w:val="Footer"/>
      <w:jc w:val="center"/>
      <w:rPr>
        <w:rStyle w:val="PageNumber"/>
        <w:sz w:val="20"/>
        <w:szCs w:val="20"/>
      </w:rPr>
    </w:pPr>
    <w:r w:rsidRPr="00961172">
      <w:rPr>
        <w:rStyle w:val="PageNumber"/>
        <w:sz w:val="20"/>
        <w:szCs w:val="20"/>
      </w:rPr>
      <w:fldChar w:fldCharType="begin"/>
    </w:r>
    <w:r w:rsidRPr="00961172">
      <w:rPr>
        <w:rStyle w:val="PageNumber"/>
        <w:sz w:val="20"/>
        <w:szCs w:val="20"/>
      </w:rPr>
      <w:instrText xml:space="preserve"> PAGE </w:instrText>
    </w:r>
    <w:r w:rsidRPr="00961172">
      <w:rPr>
        <w:rStyle w:val="PageNumber"/>
        <w:sz w:val="20"/>
        <w:szCs w:val="20"/>
      </w:rPr>
      <w:fldChar w:fldCharType="separate"/>
    </w:r>
    <w:r w:rsidR="008F27DB">
      <w:rPr>
        <w:rStyle w:val="PageNumber"/>
        <w:noProof/>
        <w:sz w:val="20"/>
        <w:szCs w:val="20"/>
      </w:rPr>
      <w:t>9</w:t>
    </w:r>
    <w:r w:rsidRPr="00961172">
      <w:rPr>
        <w:rStyle w:val="PageNumber"/>
        <w:sz w:val="20"/>
        <w:szCs w:val="20"/>
      </w:rPr>
      <w:fldChar w:fldCharType="end"/>
    </w:r>
  </w:p>
  <w:p w:rsidR="00505E77" w:rsidRDefault="00505E77" w:rsidP="00CC6775">
    <w:pPr>
      <w:pStyle w:val="Footer"/>
      <w:jc w:val="right"/>
      <w:rPr>
        <w:sz w:val="20"/>
        <w:szCs w:val="20"/>
      </w:rPr>
    </w:pPr>
    <w:r>
      <w:rPr>
        <w:sz w:val="20"/>
        <w:szCs w:val="20"/>
      </w:rPr>
      <w:t xml:space="preserve">Plaintiffs’ Supplemental Brief </w:t>
    </w:r>
  </w:p>
  <w:p w:rsidR="00505E77" w:rsidRDefault="00505E77" w:rsidP="00CC6775">
    <w:pPr>
      <w:pStyle w:val="Footer"/>
      <w:jc w:val="right"/>
      <w:rPr>
        <w:sz w:val="20"/>
        <w:szCs w:val="20"/>
      </w:rPr>
    </w:pPr>
    <w:r>
      <w:rPr>
        <w:sz w:val="20"/>
        <w:szCs w:val="20"/>
      </w:rPr>
      <w:t>Case No.: 4:15-CV-01007 JSW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27DB">
      <w:pPr>
        <w:spacing w:line="240" w:lineRule="auto"/>
      </w:pPr>
      <w:r>
        <w:separator/>
      </w:r>
    </w:p>
  </w:footnote>
  <w:footnote w:type="continuationSeparator" w:id="0">
    <w:p w:rsidR="00000000" w:rsidRDefault="008F27D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BE" w:rsidRDefault="00B2194E">
    <w:pPr>
      <w:pStyle w:val="Header"/>
      <w:tabs>
        <w:tab w:val="clear" w:pos="4680"/>
        <w:tab w:val="clear" w:pos="9360"/>
        <w:tab w:val="center" w:pos="4800"/>
        <w:tab w:val="right" w:pos="9600"/>
      </w:tabs>
      <w:spacing w:line="480" w:lineRule="exact"/>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-1008380</wp:posOffset>
              </wp:positionH>
              <wp:positionV relativeFrom="paragraph">
                <wp:posOffset>1733550</wp:posOffset>
              </wp:positionV>
              <wp:extent cx="646430" cy="6134100"/>
              <wp:effectExtent l="0" t="6350" r="6350" b="63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13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850" w:rsidRPr="00384782" w:rsidRDefault="004A7D37" w:rsidP="00384782">
                          <w:pPr>
                            <w:jc w:val="center"/>
                            <w:rPr>
                              <w:sz w:val="20"/>
                              <w:szCs w:val="20"/>
                            </w:rPr>
                          </w:pPr>
                          <w:r w:rsidRPr="00384782">
                            <w:rPr>
                              <w:sz w:val="20"/>
                              <w:szCs w:val="20"/>
                            </w:rPr>
                            <w:t>SANTEN &amp; HUGHES LPA</w:t>
                          </w:r>
                        </w:p>
                        <w:p w:rsidR="00384782" w:rsidRPr="00384782" w:rsidRDefault="00384782" w:rsidP="00384782">
                          <w:pPr>
                            <w:jc w:val="center"/>
                            <w:rPr>
                              <w:sz w:val="20"/>
                              <w:szCs w:val="20"/>
                            </w:rPr>
                          </w:pPr>
                          <w:r w:rsidRPr="00384782">
                            <w:rPr>
                              <w:sz w:val="20"/>
                              <w:szCs w:val="20"/>
                            </w:rPr>
                            <w:t>600 Vine Street, Suite 2700</w:t>
                          </w:r>
                        </w:p>
                        <w:p w:rsidR="00384782" w:rsidRDefault="00384782" w:rsidP="00384782">
                          <w:pPr>
                            <w:jc w:val="center"/>
                            <w:rPr>
                              <w:sz w:val="20"/>
                              <w:szCs w:val="20"/>
                            </w:rPr>
                          </w:pPr>
                          <w:r w:rsidRPr="00384782">
                            <w:rPr>
                              <w:sz w:val="20"/>
                              <w:szCs w:val="20"/>
                            </w:rPr>
                            <w:t>Cincinnati, Ohio 45202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79.35pt;margin-top:136.5pt;width:50.9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" stroked="f">
              <v:textbox style="layout-flow:vertical;mso-layout-flow-alt:bottom-to-top">
                <w:txbxContent>
                  <w:p w:rsidR="00E67850" w:rsidRPr="00384782" w:rsidRDefault="004A7D37" w:rsidP="00384782">
                    <w:pPr>
                      <w:jc w:val="center"/>
                      <w:rPr>
                        <w:sz w:val="20"/>
                        <w:szCs w:val="20"/>
                      </w:rPr>
                    </w:pPr>
                    <w:r w:rsidRPr="00384782">
                      <w:rPr>
                        <w:sz w:val="20"/>
                        <w:szCs w:val="20"/>
                      </w:rPr>
                      <w:t>SANTEN &amp; HUGHES LPA</w:t>
                    </w:r>
                  </w:p>
                  <w:p w:rsidR="00384782" w:rsidRPr="00384782" w:rsidRDefault="00384782" w:rsidP="00384782">
                    <w:pPr>
                      <w:jc w:val="center"/>
                      <w:rPr>
                        <w:sz w:val="20"/>
                        <w:szCs w:val="20"/>
                      </w:rPr>
                    </w:pPr>
                    <w:r w:rsidRPr="00384782">
                      <w:rPr>
                        <w:sz w:val="20"/>
                        <w:szCs w:val="20"/>
                      </w:rPr>
                      <w:t>600 Vine Street, Suite 2700</w:t>
                    </w:r>
                  </w:p>
                  <w:p w:rsidR="00384782" w:rsidRDefault="00384782" w:rsidP="00384782">
                    <w:pPr>
                      <w:jc w:val="center"/>
                      <w:rPr>
                        <w:sz w:val="20"/>
                        <w:szCs w:val="20"/>
                      </w:rPr>
                    </w:pPr>
                    <w:r w:rsidRPr="00384782">
                      <w:rPr>
                        <w:sz w:val="20"/>
                        <w:szCs w:val="20"/>
                      </w:rPr>
                      <w:t>Cincinnati, Ohio 45202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-598805</wp:posOffset>
              </wp:positionH>
              <wp:positionV relativeFrom="margin">
                <wp:posOffset>0</wp:posOffset>
              </wp:positionV>
              <wp:extent cx="457200" cy="8503920"/>
              <wp:effectExtent l="0" t="0" r="1905" b="508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3BE" w:rsidRDefault="004E43BE">
                          <w:pPr>
                            <w:spacing w:line="480" w:lineRule="exact"/>
                            <w:jc w:val="right"/>
                          </w:pPr>
                          <w:r>
                            <w:t>1</w:t>
                          </w:r>
                        </w:p>
                        <w:p w:rsidR="004E43BE" w:rsidRDefault="004E43BE">
                          <w:pPr>
                            <w:spacing w:line="480" w:lineRule="exact"/>
                            <w:jc w:val="right"/>
                          </w:pPr>
                          <w:r>
                            <w:t>2</w:t>
                          </w:r>
                        </w:p>
                        <w:p w:rsidR="004E43BE" w:rsidRDefault="004E43BE">
                          <w:pPr>
                            <w:spacing w:line="480" w:lineRule="exact"/>
                            <w:jc w:val="right"/>
                          </w:pPr>
                          <w:r>
                            <w:t>3</w:t>
                          </w:r>
                        </w:p>
                        <w:p w:rsidR="004E43BE" w:rsidRDefault="004E43BE">
                          <w:pPr>
                            <w:spacing w:line="480" w:lineRule="exact"/>
                            <w:jc w:val="right"/>
                          </w:pPr>
                          <w:r>
                            <w:t>4</w:t>
                          </w:r>
                        </w:p>
                        <w:p w:rsidR="004E43BE" w:rsidRDefault="004E43BE">
                          <w:pPr>
                            <w:spacing w:line="480" w:lineRule="exact"/>
                            <w:jc w:val="right"/>
                          </w:pPr>
                          <w:r>
                            <w:t>5</w:t>
                          </w:r>
                        </w:p>
                        <w:p w:rsidR="004E43BE" w:rsidRDefault="004E43BE">
                          <w:pPr>
                            <w:spacing w:line="480" w:lineRule="exact"/>
                            <w:jc w:val="right"/>
                          </w:pPr>
                          <w:r>
                            <w:t>6</w:t>
                          </w:r>
                        </w:p>
                        <w:p w:rsidR="004E43BE" w:rsidRDefault="004E43BE">
                          <w:pPr>
                            <w:spacing w:line="480" w:lineRule="exact"/>
                            <w:jc w:val="right"/>
                          </w:pPr>
                          <w:r>
                            <w:t>7</w:t>
                          </w:r>
                        </w:p>
                        <w:p w:rsidR="004E43BE" w:rsidRDefault="004E43BE">
                          <w:pPr>
                            <w:spacing w:line="480" w:lineRule="exact"/>
                            <w:jc w:val="right"/>
                          </w:pPr>
                          <w:r>
                            <w:t>8</w:t>
                          </w:r>
                        </w:p>
                        <w:p w:rsidR="004E43BE" w:rsidRDefault="004E43BE">
                          <w:pPr>
                            <w:spacing w:line="480" w:lineRule="exact"/>
                            <w:jc w:val="right"/>
                          </w:pPr>
                          <w:r>
                            <w:t>9</w:t>
                          </w:r>
                        </w:p>
                        <w:p w:rsidR="004E43BE" w:rsidRDefault="004E43BE">
                          <w:pPr>
                            <w:spacing w:line="480" w:lineRule="exact"/>
                            <w:jc w:val="right"/>
                          </w:pPr>
                          <w:r>
                            <w:t>10</w:t>
                          </w:r>
                        </w:p>
                        <w:p w:rsidR="004E43BE" w:rsidRDefault="004E43BE">
                          <w:pPr>
                            <w:spacing w:line="480" w:lineRule="exact"/>
                            <w:jc w:val="right"/>
                          </w:pPr>
                          <w:r>
                            <w:t>11</w:t>
                          </w:r>
                        </w:p>
                        <w:p w:rsidR="004E43BE" w:rsidRDefault="004E43BE">
                          <w:pPr>
                            <w:spacing w:line="480" w:lineRule="exact"/>
                            <w:jc w:val="right"/>
                          </w:pPr>
                          <w:r>
                            <w:t>12</w:t>
                          </w:r>
                        </w:p>
                        <w:p w:rsidR="004E43BE" w:rsidRDefault="004E43BE">
                          <w:pPr>
                            <w:spacing w:line="480" w:lineRule="exact"/>
                            <w:jc w:val="right"/>
                          </w:pPr>
                          <w:r>
                            <w:t>13</w:t>
                          </w:r>
                        </w:p>
                        <w:p w:rsidR="004E43BE" w:rsidRDefault="004E43BE">
                          <w:pPr>
                            <w:spacing w:line="480" w:lineRule="exact"/>
                            <w:jc w:val="right"/>
                          </w:pPr>
                          <w:r>
                            <w:t>14</w:t>
                          </w:r>
                        </w:p>
                        <w:p w:rsidR="004E43BE" w:rsidRDefault="004E43BE">
                          <w:pPr>
                            <w:spacing w:line="480" w:lineRule="exact"/>
                            <w:jc w:val="right"/>
                          </w:pPr>
                          <w:r>
                            <w:t>15</w:t>
                          </w:r>
                        </w:p>
                        <w:p w:rsidR="004E43BE" w:rsidRDefault="004E43BE">
                          <w:pPr>
                            <w:spacing w:line="480" w:lineRule="exact"/>
                            <w:jc w:val="right"/>
                          </w:pPr>
                          <w:r>
                            <w:t>16</w:t>
                          </w:r>
                        </w:p>
                        <w:p w:rsidR="004E43BE" w:rsidRDefault="004E43BE">
                          <w:pPr>
                            <w:spacing w:line="480" w:lineRule="exact"/>
                            <w:jc w:val="right"/>
                          </w:pPr>
                          <w:r>
                            <w:t>17</w:t>
                          </w:r>
                        </w:p>
                        <w:p w:rsidR="004E43BE" w:rsidRDefault="004E43BE">
                          <w:pPr>
                            <w:spacing w:line="480" w:lineRule="exact"/>
                            <w:jc w:val="right"/>
                          </w:pPr>
                          <w:r>
                            <w:t>18</w:t>
                          </w:r>
                        </w:p>
                        <w:p w:rsidR="004E43BE" w:rsidRDefault="004E43BE">
                          <w:pPr>
                            <w:spacing w:line="480" w:lineRule="exact"/>
                            <w:jc w:val="right"/>
                          </w:pPr>
                          <w:r>
                            <w:t>19</w:t>
                          </w:r>
                        </w:p>
                        <w:p w:rsidR="004E43BE" w:rsidRDefault="004E43BE">
                          <w:pPr>
                            <w:spacing w:line="480" w:lineRule="exact"/>
                            <w:jc w:val="right"/>
                          </w:pPr>
                          <w:r>
                            <w:t>20</w:t>
                          </w:r>
                        </w:p>
                        <w:p w:rsidR="004E43BE" w:rsidRDefault="004E43BE">
                          <w:pPr>
                            <w:spacing w:line="480" w:lineRule="exact"/>
                            <w:jc w:val="right"/>
                          </w:pPr>
                          <w:r>
                            <w:t>21</w:t>
                          </w:r>
                        </w:p>
                        <w:p w:rsidR="004E43BE" w:rsidRDefault="004E43BE">
                          <w:pPr>
                            <w:spacing w:line="480" w:lineRule="exact"/>
                            <w:jc w:val="right"/>
                          </w:pPr>
                          <w:r>
                            <w:t>22</w:t>
                          </w:r>
                        </w:p>
                        <w:p w:rsidR="004E43BE" w:rsidRDefault="004E43BE">
                          <w:pPr>
                            <w:spacing w:line="480" w:lineRule="exact"/>
                            <w:jc w:val="right"/>
                          </w:pPr>
                          <w:r>
                            <w:t>23</w:t>
                          </w:r>
                        </w:p>
                        <w:p w:rsidR="004E43BE" w:rsidRDefault="004E43BE">
                          <w:pPr>
                            <w:spacing w:line="480" w:lineRule="exact"/>
                            <w:jc w:val="right"/>
                          </w:pPr>
                          <w:r>
                            <w:t>24</w:t>
                          </w:r>
                        </w:p>
                        <w:p w:rsidR="004E43BE" w:rsidRDefault="004E43BE">
                          <w:pPr>
                            <w:spacing w:line="480" w:lineRule="exact"/>
                            <w:jc w:val="right"/>
                          </w:pPr>
                          <w:r>
                            <w:t>25</w:t>
                          </w:r>
                        </w:p>
                        <w:p w:rsidR="004E43BE" w:rsidRDefault="004E43BE">
                          <w:pPr>
                            <w:spacing w:line="480" w:lineRule="exact"/>
                            <w:jc w:val="right"/>
                          </w:pPr>
                          <w:r>
                            <w:t>26</w:t>
                          </w:r>
                        </w:p>
                        <w:p w:rsidR="004E43BE" w:rsidRDefault="004E43BE">
                          <w:pPr>
                            <w:spacing w:line="480" w:lineRule="exact"/>
                            <w:jc w:val="right"/>
                          </w:pPr>
                          <w:r>
                            <w:t>27</w:t>
                          </w:r>
                        </w:p>
                        <w:p w:rsidR="004E43BE" w:rsidRDefault="004E43BE">
                          <w:pPr>
                            <w:spacing w:line="480" w:lineRule="exact"/>
                            <w:jc w:val="right"/>
                          </w:pPr>
                          <w:r>
                            <w:t>28</w:t>
                          </w:r>
                        </w:p>
                        <w:p w:rsidR="004E43BE" w:rsidRDefault="004E43BE">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ineNumbers" o:spid="_x0000_s1027" type="#_x0000_t202" style="position:absolute;margin-left:-47.1pt;margin-top:0;width:36pt;height:66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" stroked="f">
              <v:textbox inset="0,0,0,0">
                <w:txbxContent>
                  <w:p w:rsidR="004E43BE" w:rsidRDefault="004E43BE">
                    <w:pPr>
                      <w:spacing w:line="480" w:lineRule="exact"/>
                      <w:jc w:val="right"/>
                    </w:pPr>
                    <w:r>
                      <w:t>1</w:t>
                    </w:r>
                  </w:p>
                  <w:p w:rsidR="004E43BE" w:rsidRDefault="004E43BE">
                    <w:pPr>
                      <w:spacing w:line="480" w:lineRule="exact"/>
                      <w:jc w:val="right"/>
                    </w:pPr>
                    <w:r>
                      <w:t>2</w:t>
                    </w:r>
                  </w:p>
                  <w:p w:rsidR="004E43BE" w:rsidRDefault="004E43BE">
                    <w:pPr>
                      <w:spacing w:line="480" w:lineRule="exact"/>
                      <w:jc w:val="right"/>
                    </w:pPr>
                    <w:r>
                      <w:t>3</w:t>
                    </w:r>
                  </w:p>
                  <w:p w:rsidR="004E43BE" w:rsidRDefault="004E43BE">
                    <w:pPr>
                      <w:spacing w:line="480" w:lineRule="exact"/>
                      <w:jc w:val="right"/>
                    </w:pPr>
                    <w:r>
                      <w:t>4</w:t>
                    </w:r>
                  </w:p>
                  <w:p w:rsidR="004E43BE" w:rsidRDefault="004E43BE">
                    <w:pPr>
                      <w:spacing w:line="480" w:lineRule="exact"/>
                      <w:jc w:val="right"/>
                    </w:pPr>
                    <w:r>
                      <w:t>5</w:t>
                    </w:r>
                  </w:p>
                  <w:p w:rsidR="004E43BE" w:rsidRDefault="004E43BE">
                    <w:pPr>
                      <w:spacing w:line="480" w:lineRule="exact"/>
                      <w:jc w:val="right"/>
                    </w:pPr>
                    <w:r>
                      <w:t>6</w:t>
                    </w:r>
                  </w:p>
                  <w:p w:rsidR="004E43BE" w:rsidRDefault="004E43BE">
                    <w:pPr>
                      <w:spacing w:line="480" w:lineRule="exact"/>
                      <w:jc w:val="right"/>
                    </w:pPr>
                    <w:r>
                      <w:t>7</w:t>
                    </w:r>
                  </w:p>
                  <w:p w:rsidR="004E43BE" w:rsidRDefault="004E43BE">
                    <w:pPr>
                      <w:spacing w:line="480" w:lineRule="exact"/>
                      <w:jc w:val="right"/>
                    </w:pPr>
                    <w:r>
                      <w:t>8</w:t>
                    </w:r>
                  </w:p>
                  <w:p w:rsidR="004E43BE" w:rsidRDefault="004E43BE">
                    <w:pPr>
                      <w:spacing w:line="480" w:lineRule="exact"/>
                      <w:jc w:val="right"/>
                    </w:pPr>
                    <w:r>
                      <w:t>9</w:t>
                    </w:r>
                  </w:p>
                  <w:p w:rsidR="004E43BE" w:rsidRDefault="004E43BE">
                    <w:pPr>
                      <w:spacing w:line="480" w:lineRule="exact"/>
                      <w:jc w:val="right"/>
                    </w:pPr>
                    <w:r>
                      <w:t>10</w:t>
                    </w:r>
                  </w:p>
                  <w:p w:rsidR="004E43BE" w:rsidRDefault="004E43BE">
                    <w:pPr>
                      <w:spacing w:line="480" w:lineRule="exact"/>
                      <w:jc w:val="right"/>
                    </w:pPr>
                    <w:r>
                      <w:t>11</w:t>
                    </w:r>
                  </w:p>
                  <w:p w:rsidR="004E43BE" w:rsidRDefault="004E43BE">
                    <w:pPr>
                      <w:spacing w:line="480" w:lineRule="exact"/>
                      <w:jc w:val="right"/>
                    </w:pPr>
                    <w:r>
                      <w:t>12</w:t>
                    </w:r>
                  </w:p>
                  <w:p w:rsidR="004E43BE" w:rsidRDefault="004E43BE">
                    <w:pPr>
                      <w:spacing w:line="480" w:lineRule="exact"/>
                      <w:jc w:val="right"/>
                    </w:pPr>
                    <w:r>
                      <w:t>13</w:t>
                    </w:r>
                  </w:p>
                  <w:p w:rsidR="004E43BE" w:rsidRDefault="004E43BE">
                    <w:pPr>
                      <w:spacing w:line="480" w:lineRule="exact"/>
                      <w:jc w:val="right"/>
                    </w:pPr>
                    <w:r>
                      <w:t>14</w:t>
                    </w:r>
                  </w:p>
                  <w:p w:rsidR="004E43BE" w:rsidRDefault="004E43BE">
                    <w:pPr>
                      <w:spacing w:line="480" w:lineRule="exact"/>
                      <w:jc w:val="right"/>
                    </w:pPr>
                    <w:r>
                      <w:t>15</w:t>
                    </w:r>
                  </w:p>
                  <w:p w:rsidR="004E43BE" w:rsidRDefault="004E43BE">
                    <w:pPr>
                      <w:spacing w:line="480" w:lineRule="exact"/>
                      <w:jc w:val="right"/>
                    </w:pPr>
                    <w:r>
                      <w:t>16</w:t>
                    </w:r>
                  </w:p>
                  <w:p w:rsidR="004E43BE" w:rsidRDefault="004E43BE">
                    <w:pPr>
                      <w:spacing w:line="480" w:lineRule="exact"/>
                      <w:jc w:val="right"/>
                    </w:pPr>
                    <w:r>
                      <w:t>17</w:t>
                    </w:r>
                  </w:p>
                  <w:p w:rsidR="004E43BE" w:rsidRDefault="004E43BE">
                    <w:pPr>
                      <w:spacing w:line="480" w:lineRule="exact"/>
                      <w:jc w:val="right"/>
                    </w:pPr>
                    <w:r>
                      <w:t>18</w:t>
                    </w:r>
                  </w:p>
                  <w:p w:rsidR="004E43BE" w:rsidRDefault="004E43BE">
                    <w:pPr>
                      <w:spacing w:line="480" w:lineRule="exact"/>
                      <w:jc w:val="right"/>
                    </w:pPr>
                    <w:r>
                      <w:t>19</w:t>
                    </w:r>
                  </w:p>
                  <w:p w:rsidR="004E43BE" w:rsidRDefault="004E43BE">
                    <w:pPr>
                      <w:spacing w:line="480" w:lineRule="exact"/>
                      <w:jc w:val="right"/>
                    </w:pPr>
                    <w:r>
                      <w:t>20</w:t>
                    </w:r>
                  </w:p>
                  <w:p w:rsidR="004E43BE" w:rsidRDefault="004E43BE">
                    <w:pPr>
                      <w:spacing w:line="480" w:lineRule="exact"/>
                      <w:jc w:val="right"/>
                    </w:pPr>
                    <w:r>
                      <w:t>21</w:t>
                    </w:r>
                  </w:p>
                  <w:p w:rsidR="004E43BE" w:rsidRDefault="004E43BE">
                    <w:pPr>
                      <w:spacing w:line="480" w:lineRule="exact"/>
                      <w:jc w:val="right"/>
                    </w:pPr>
                    <w:r>
                      <w:t>22</w:t>
                    </w:r>
                  </w:p>
                  <w:p w:rsidR="004E43BE" w:rsidRDefault="004E43BE">
                    <w:pPr>
                      <w:spacing w:line="480" w:lineRule="exact"/>
                      <w:jc w:val="right"/>
                    </w:pPr>
                    <w:r>
                      <w:t>23</w:t>
                    </w:r>
                  </w:p>
                  <w:p w:rsidR="004E43BE" w:rsidRDefault="004E43BE">
                    <w:pPr>
                      <w:spacing w:line="480" w:lineRule="exact"/>
                      <w:jc w:val="right"/>
                    </w:pPr>
                    <w:r>
                      <w:t>24</w:t>
                    </w:r>
                  </w:p>
                  <w:p w:rsidR="004E43BE" w:rsidRDefault="004E43BE">
                    <w:pPr>
                      <w:spacing w:line="480" w:lineRule="exact"/>
                      <w:jc w:val="right"/>
                    </w:pPr>
                    <w:r>
                      <w:t>25</w:t>
                    </w:r>
                  </w:p>
                  <w:p w:rsidR="004E43BE" w:rsidRDefault="004E43BE">
                    <w:pPr>
                      <w:spacing w:line="480" w:lineRule="exact"/>
                      <w:jc w:val="right"/>
                    </w:pPr>
                    <w:r>
                      <w:t>26</w:t>
                    </w:r>
                  </w:p>
                  <w:p w:rsidR="004E43BE" w:rsidRDefault="004E43BE">
                    <w:pPr>
                      <w:spacing w:line="480" w:lineRule="exact"/>
                      <w:jc w:val="right"/>
                    </w:pPr>
                    <w:r>
                      <w:t>27</w:t>
                    </w:r>
                  </w:p>
                  <w:p w:rsidR="004E43BE" w:rsidRDefault="004E43BE">
                    <w:pPr>
                      <w:spacing w:line="480" w:lineRule="exact"/>
                      <w:jc w:val="right"/>
                    </w:pPr>
                    <w:r>
                      <w:t>28</w:t>
                    </w:r>
                  </w:p>
                  <w:p w:rsidR="004E43BE" w:rsidRDefault="004E43BE">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-74930</wp:posOffset>
              </wp:positionH>
              <wp:positionV relativeFrom="page">
                <wp:posOffset>0</wp:posOffset>
              </wp:positionV>
              <wp:extent cx="0" cy="10058400"/>
              <wp:effectExtent l="13970" t="12700" r="24130" b="25400"/>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5pt,0" to="-5.8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6174740</wp:posOffset>
              </wp:positionH>
              <wp:positionV relativeFrom="page">
                <wp:posOffset>0</wp:posOffset>
              </wp:positionV>
              <wp:extent cx="0" cy="10058400"/>
              <wp:effectExtent l="15240" t="12700" r="22860" b="25400"/>
              <wp:wrapNone/>
              <wp:docPr id="6"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17780" t="12700" r="20320" b="2540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0" to="-3.5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" o:allowincell="f">
              <w10:wrap anchorx="margin"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BE" w:rsidRDefault="004E43BE">
    <w:pPr>
      <w:pStyle w:val="TOCTitle"/>
    </w:pPr>
  </w:p>
  <w:p w:rsidR="004E43BE" w:rsidRDefault="00B2194E">
    <w:pPr>
      <w:pStyle w:val="Header"/>
      <w:tabs>
        <w:tab w:val="clear" w:pos="4680"/>
        <w:tab w:val="clear" w:pos="9360"/>
        <w:tab w:val="center" w:pos="4800"/>
        <w:tab w:val="right" w:pos="9600"/>
      </w:tabs>
      <w:spacing w:line="48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-598805</wp:posOffset>
              </wp:positionH>
              <wp:positionV relativeFrom="margin">
                <wp:posOffset>0</wp:posOffset>
              </wp:positionV>
              <wp:extent cx="457200" cy="8503920"/>
              <wp:effectExtent l="0" t="0" r="1905"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3BE" w:rsidRDefault="004E43BE">
                          <w:pPr>
                            <w:spacing w:line="480" w:lineRule="exact"/>
                            <w:jc w:val="right"/>
                          </w:pPr>
                          <w:r>
                            <w:t>1</w:t>
                          </w:r>
                        </w:p>
                        <w:p w:rsidR="004E43BE" w:rsidRDefault="004E43BE">
                          <w:pPr>
                            <w:spacing w:line="480" w:lineRule="exact"/>
                            <w:jc w:val="right"/>
                          </w:pPr>
                          <w:r>
                            <w:t>2</w:t>
                          </w:r>
                        </w:p>
                        <w:p w:rsidR="004E43BE" w:rsidRDefault="004E43BE">
                          <w:pPr>
                            <w:spacing w:line="480" w:lineRule="exact"/>
                            <w:jc w:val="right"/>
                          </w:pPr>
                          <w:r>
                            <w:t>3</w:t>
                          </w:r>
                        </w:p>
                        <w:p w:rsidR="004E43BE" w:rsidRDefault="004E43BE">
                          <w:pPr>
                            <w:spacing w:line="480" w:lineRule="exact"/>
                            <w:jc w:val="right"/>
                          </w:pPr>
                          <w:r>
                            <w:t>4</w:t>
                          </w:r>
                        </w:p>
                        <w:p w:rsidR="004E43BE" w:rsidRDefault="004E43BE">
                          <w:pPr>
                            <w:spacing w:line="480" w:lineRule="exact"/>
                            <w:jc w:val="right"/>
                          </w:pPr>
                          <w:r>
                            <w:t>5</w:t>
                          </w:r>
                        </w:p>
                        <w:p w:rsidR="004E43BE" w:rsidRDefault="004E43BE">
                          <w:pPr>
                            <w:spacing w:line="480" w:lineRule="exact"/>
                            <w:jc w:val="right"/>
                          </w:pPr>
                          <w:r>
                            <w:t>6</w:t>
                          </w:r>
                        </w:p>
                        <w:p w:rsidR="004E43BE" w:rsidRDefault="004E43BE">
                          <w:pPr>
                            <w:spacing w:line="480" w:lineRule="exact"/>
                            <w:jc w:val="right"/>
                          </w:pPr>
                          <w:r>
                            <w:t>7</w:t>
                          </w:r>
                        </w:p>
                        <w:p w:rsidR="004E43BE" w:rsidRDefault="004E43BE">
                          <w:pPr>
                            <w:spacing w:line="480" w:lineRule="exact"/>
                            <w:jc w:val="right"/>
                          </w:pPr>
                          <w:r>
                            <w:t>8</w:t>
                          </w:r>
                        </w:p>
                        <w:p w:rsidR="004E43BE" w:rsidRDefault="004E43BE">
                          <w:pPr>
                            <w:spacing w:line="480" w:lineRule="exact"/>
                            <w:jc w:val="right"/>
                          </w:pPr>
                          <w:r>
                            <w:t>9</w:t>
                          </w:r>
                        </w:p>
                        <w:p w:rsidR="004E43BE" w:rsidRDefault="004E43BE">
                          <w:pPr>
                            <w:spacing w:line="480" w:lineRule="exact"/>
                            <w:jc w:val="right"/>
                          </w:pPr>
                          <w:r>
                            <w:t>10</w:t>
                          </w:r>
                        </w:p>
                        <w:p w:rsidR="004E43BE" w:rsidRDefault="004E43BE">
                          <w:pPr>
                            <w:spacing w:line="480" w:lineRule="exact"/>
                            <w:jc w:val="right"/>
                          </w:pPr>
                          <w:r>
                            <w:t>11</w:t>
                          </w:r>
                        </w:p>
                        <w:p w:rsidR="004E43BE" w:rsidRDefault="004E43BE">
                          <w:pPr>
                            <w:spacing w:line="480" w:lineRule="exact"/>
                            <w:jc w:val="right"/>
                          </w:pPr>
                          <w:r>
                            <w:t>12</w:t>
                          </w:r>
                        </w:p>
                        <w:p w:rsidR="004E43BE" w:rsidRDefault="004E43BE">
                          <w:pPr>
                            <w:spacing w:line="480" w:lineRule="exact"/>
                            <w:jc w:val="right"/>
                          </w:pPr>
                          <w:r>
                            <w:t>13</w:t>
                          </w:r>
                        </w:p>
                        <w:p w:rsidR="004E43BE" w:rsidRDefault="004E43BE">
                          <w:pPr>
                            <w:spacing w:line="480" w:lineRule="exact"/>
                            <w:jc w:val="right"/>
                          </w:pPr>
                          <w:r>
                            <w:t>14</w:t>
                          </w:r>
                        </w:p>
                        <w:p w:rsidR="004E43BE" w:rsidRDefault="004E43BE">
                          <w:pPr>
                            <w:spacing w:line="480" w:lineRule="exact"/>
                            <w:jc w:val="right"/>
                          </w:pPr>
                          <w:r>
                            <w:t>15</w:t>
                          </w:r>
                        </w:p>
                        <w:p w:rsidR="004E43BE" w:rsidRDefault="004E43BE">
                          <w:pPr>
                            <w:spacing w:line="480" w:lineRule="exact"/>
                            <w:jc w:val="right"/>
                          </w:pPr>
                          <w:r>
                            <w:t>16</w:t>
                          </w:r>
                        </w:p>
                        <w:p w:rsidR="004E43BE" w:rsidRDefault="004E43BE">
                          <w:pPr>
                            <w:spacing w:line="480" w:lineRule="exact"/>
                            <w:jc w:val="right"/>
                          </w:pPr>
                          <w:r>
                            <w:t>17</w:t>
                          </w:r>
                        </w:p>
                        <w:p w:rsidR="004E43BE" w:rsidRDefault="004E43BE">
                          <w:pPr>
                            <w:spacing w:line="480" w:lineRule="exact"/>
                            <w:jc w:val="right"/>
                          </w:pPr>
                          <w:r>
                            <w:t>18</w:t>
                          </w:r>
                        </w:p>
                        <w:p w:rsidR="004E43BE" w:rsidRDefault="004E43BE">
                          <w:pPr>
                            <w:spacing w:line="480" w:lineRule="exact"/>
                            <w:jc w:val="right"/>
                          </w:pPr>
                          <w:r>
                            <w:t>19</w:t>
                          </w:r>
                        </w:p>
                        <w:p w:rsidR="004E43BE" w:rsidRDefault="004E43BE">
                          <w:pPr>
                            <w:spacing w:line="480" w:lineRule="exact"/>
                            <w:jc w:val="right"/>
                          </w:pPr>
                          <w:r>
                            <w:t>20</w:t>
                          </w:r>
                        </w:p>
                        <w:p w:rsidR="004E43BE" w:rsidRDefault="004E43BE">
                          <w:pPr>
                            <w:spacing w:line="480" w:lineRule="exact"/>
                            <w:jc w:val="right"/>
                          </w:pPr>
                          <w:r>
                            <w:t>21</w:t>
                          </w:r>
                        </w:p>
                        <w:p w:rsidR="004E43BE" w:rsidRDefault="004E43BE">
                          <w:pPr>
                            <w:spacing w:line="480" w:lineRule="exact"/>
                            <w:jc w:val="right"/>
                          </w:pPr>
                          <w:r>
                            <w:t>22</w:t>
                          </w:r>
                        </w:p>
                        <w:p w:rsidR="004E43BE" w:rsidRDefault="004E43BE">
                          <w:pPr>
                            <w:spacing w:line="480" w:lineRule="exact"/>
                            <w:jc w:val="right"/>
                          </w:pPr>
                          <w:r>
                            <w:t>23</w:t>
                          </w:r>
                        </w:p>
                        <w:p w:rsidR="004E43BE" w:rsidRDefault="004E43BE">
                          <w:pPr>
                            <w:spacing w:line="480" w:lineRule="exact"/>
                            <w:jc w:val="right"/>
                          </w:pPr>
                          <w:r>
                            <w:t>24</w:t>
                          </w:r>
                        </w:p>
                        <w:p w:rsidR="004E43BE" w:rsidRDefault="004E43BE">
                          <w:pPr>
                            <w:spacing w:line="480" w:lineRule="exact"/>
                            <w:jc w:val="right"/>
                          </w:pPr>
                          <w:r>
                            <w:t>25</w:t>
                          </w:r>
                        </w:p>
                        <w:p w:rsidR="004E43BE" w:rsidRDefault="004E43BE">
                          <w:pPr>
                            <w:spacing w:line="480" w:lineRule="exact"/>
                            <w:jc w:val="right"/>
                          </w:pPr>
                          <w:r>
                            <w:t>26</w:t>
                          </w:r>
                        </w:p>
                        <w:p w:rsidR="004E43BE" w:rsidRDefault="004E43BE">
                          <w:pPr>
                            <w:spacing w:line="480" w:lineRule="exact"/>
                            <w:jc w:val="right"/>
                          </w:pPr>
                          <w:r>
                            <w:t>27</w:t>
                          </w:r>
                        </w:p>
                        <w:p w:rsidR="004E43BE" w:rsidRDefault="004E43BE">
                          <w:pPr>
                            <w:spacing w:line="480" w:lineRule="exact"/>
                            <w:jc w:val="right"/>
                          </w:pPr>
                          <w:r>
                            <w:t>28</w:t>
                          </w:r>
                        </w:p>
                        <w:p w:rsidR="004E43BE" w:rsidRDefault="004E43BE">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47.1pt;margin-top:0;width:36pt;height:66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" stroked="f">
              <v:textbox inset="0,0,0,0">
                <w:txbxContent>
                  <w:p w:rsidR="004E43BE" w:rsidRDefault="004E43BE">
                    <w:pPr>
                      <w:spacing w:line="480" w:lineRule="exact"/>
                      <w:jc w:val="right"/>
                    </w:pPr>
                    <w:r>
                      <w:t>1</w:t>
                    </w:r>
                  </w:p>
                  <w:p w:rsidR="004E43BE" w:rsidRDefault="004E43BE">
                    <w:pPr>
                      <w:spacing w:line="480" w:lineRule="exact"/>
                      <w:jc w:val="right"/>
                    </w:pPr>
                    <w:r>
                      <w:t>2</w:t>
                    </w:r>
                  </w:p>
                  <w:p w:rsidR="004E43BE" w:rsidRDefault="004E43BE">
                    <w:pPr>
                      <w:spacing w:line="480" w:lineRule="exact"/>
                      <w:jc w:val="right"/>
                    </w:pPr>
                    <w:r>
                      <w:t>3</w:t>
                    </w:r>
                  </w:p>
                  <w:p w:rsidR="004E43BE" w:rsidRDefault="004E43BE">
                    <w:pPr>
                      <w:spacing w:line="480" w:lineRule="exact"/>
                      <w:jc w:val="right"/>
                    </w:pPr>
                    <w:r>
                      <w:t>4</w:t>
                    </w:r>
                  </w:p>
                  <w:p w:rsidR="004E43BE" w:rsidRDefault="004E43BE">
                    <w:pPr>
                      <w:spacing w:line="480" w:lineRule="exact"/>
                      <w:jc w:val="right"/>
                    </w:pPr>
                    <w:r>
                      <w:t>5</w:t>
                    </w:r>
                  </w:p>
                  <w:p w:rsidR="004E43BE" w:rsidRDefault="004E43BE">
                    <w:pPr>
                      <w:spacing w:line="480" w:lineRule="exact"/>
                      <w:jc w:val="right"/>
                    </w:pPr>
                    <w:r>
                      <w:t>6</w:t>
                    </w:r>
                  </w:p>
                  <w:p w:rsidR="004E43BE" w:rsidRDefault="004E43BE">
                    <w:pPr>
                      <w:spacing w:line="480" w:lineRule="exact"/>
                      <w:jc w:val="right"/>
                    </w:pPr>
                    <w:r>
                      <w:t>7</w:t>
                    </w:r>
                  </w:p>
                  <w:p w:rsidR="004E43BE" w:rsidRDefault="004E43BE">
                    <w:pPr>
                      <w:spacing w:line="480" w:lineRule="exact"/>
                      <w:jc w:val="right"/>
                    </w:pPr>
                    <w:r>
                      <w:t>8</w:t>
                    </w:r>
                  </w:p>
                  <w:p w:rsidR="004E43BE" w:rsidRDefault="004E43BE">
                    <w:pPr>
                      <w:spacing w:line="480" w:lineRule="exact"/>
                      <w:jc w:val="right"/>
                    </w:pPr>
                    <w:r>
                      <w:t>9</w:t>
                    </w:r>
                  </w:p>
                  <w:p w:rsidR="004E43BE" w:rsidRDefault="004E43BE">
                    <w:pPr>
                      <w:spacing w:line="480" w:lineRule="exact"/>
                      <w:jc w:val="right"/>
                    </w:pPr>
                    <w:r>
                      <w:t>10</w:t>
                    </w:r>
                  </w:p>
                  <w:p w:rsidR="004E43BE" w:rsidRDefault="004E43BE">
                    <w:pPr>
                      <w:spacing w:line="480" w:lineRule="exact"/>
                      <w:jc w:val="right"/>
                    </w:pPr>
                    <w:r>
                      <w:t>11</w:t>
                    </w:r>
                  </w:p>
                  <w:p w:rsidR="004E43BE" w:rsidRDefault="004E43BE">
                    <w:pPr>
                      <w:spacing w:line="480" w:lineRule="exact"/>
                      <w:jc w:val="right"/>
                    </w:pPr>
                    <w:r>
                      <w:t>12</w:t>
                    </w:r>
                  </w:p>
                  <w:p w:rsidR="004E43BE" w:rsidRDefault="004E43BE">
                    <w:pPr>
                      <w:spacing w:line="480" w:lineRule="exact"/>
                      <w:jc w:val="right"/>
                    </w:pPr>
                    <w:r>
                      <w:t>13</w:t>
                    </w:r>
                  </w:p>
                  <w:p w:rsidR="004E43BE" w:rsidRDefault="004E43BE">
                    <w:pPr>
                      <w:spacing w:line="480" w:lineRule="exact"/>
                      <w:jc w:val="right"/>
                    </w:pPr>
                    <w:r>
                      <w:t>14</w:t>
                    </w:r>
                  </w:p>
                  <w:p w:rsidR="004E43BE" w:rsidRDefault="004E43BE">
                    <w:pPr>
                      <w:spacing w:line="480" w:lineRule="exact"/>
                      <w:jc w:val="right"/>
                    </w:pPr>
                    <w:r>
                      <w:t>15</w:t>
                    </w:r>
                  </w:p>
                  <w:p w:rsidR="004E43BE" w:rsidRDefault="004E43BE">
                    <w:pPr>
                      <w:spacing w:line="480" w:lineRule="exact"/>
                      <w:jc w:val="right"/>
                    </w:pPr>
                    <w:r>
                      <w:t>16</w:t>
                    </w:r>
                  </w:p>
                  <w:p w:rsidR="004E43BE" w:rsidRDefault="004E43BE">
                    <w:pPr>
                      <w:spacing w:line="480" w:lineRule="exact"/>
                      <w:jc w:val="right"/>
                    </w:pPr>
                    <w:r>
                      <w:t>17</w:t>
                    </w:r>
                  </w:p>
                  <w:p w:rsidR="004E43BE" w:rsidRDefault="004E43BE">
                    <w:pPr>
                      <w:spacing w:line="480" w:lineRule="exact"/>
                      <w:jc w:val="right"/>
                    </w:pPr>
                    <w:r>
                      <w:t>18</w:t>
                    </w:r>
                  </w:p>
                  <w:p w:rsidR="004E43BE" w:rsidRDefault="004E43BE">
                    <w:pPr>
                      <w:spacing w:line="480" w:lineRule="exact"/>
                      <w:jc w:val="right"/>
                    </w:pPr>
                    <w:r>
                      <w:t>19</w:t>
                    </w:r>
                  </w:p>
                  <w:p w:rsidR="004E43BE" w:rsidRDefault="004E43BE">
                    <w:pPr>
                      <w:spacing w:line="480" w:lineRule="exact"/>
                      <w:jc w:val="right"/>
                    </w:pPr>
                    <w:r>
                      <w:t>20</w:t>
                    </w:r>
                  </w:p>
                  <w:p w:rsidR="004E43BE" w:rsidRDefault="004E43BE">
                    <w:pPr>
                      <w:spacing w:line="480" w:lineRule="exact"/>
                      <w:jc w:val="right"/>
                    </w:pPr>
                    <w:r>
                      <w:t>21</w:t>
                    </w:r>
                  </w:p>
                  <w:p w:rsidR="004E43BE" w:rsidRDefault="004E43BE">
                    <w:pPr>
                      <w:spacing w:line="480" w:lineRule="exact"/>
                      <w:jc w:val="right"/>
                    </w:pPr>
                    <w:r>
                      <w:t>22</w:t>
                    </w:r>
                  </w:p>
                  <w:p w:rsidR="004E43BE" w:rsidRDefault="004E43BE">
                    <w:pPr>
                      <w:spacing w:line="480" w:lineRule="exact"/>
                      <w:jc w:val="right"/>
                    </w:pPr>
                    <w:r>
                      <w:t>23</w:t>
                    </w:r>
                  </w:p>
                  <w:p w:rsidR="004E43BE" w:rsidRDefault="004E43BE">
                    <w:pPr>
                      <w:spacing w:line="480" w:lineRule="exact"/>
                      <w:jc w:val="right"/>
                    </w:pPr>
                    <w:r>
                      <w:t>24</w:t>
                    </w:r>
                  </w:p>
                  <w:p w:rsidR="004E43BE" w:rsidRDefault="004E43BE">
                    <w:pPr>
                      <w:spacing w:line="480" w:lineRule="exact"/>
                      <w:jc w:val="right"/>
                    </w:pPr>
                    <w:r>
                      <w:t>25</w:t>
                    </w:r>
                  </w:p>
                  <w:p w:rsidR="004E43BE" w:rsidRDefault="004E43BE">
                    <w:pPr>
                      <w:spacing w:line="480" w:lineRule="exact"/>
                      <w:jc w:val="right"/>
                    </w:pPr>
                    <w:r>
                      <w:t>26</w:t>
                    </w:r>
                  </w:p>
                  <w:p w:rsidR="004E43BE" w:rsidRDefault="004E43BE">
                    <w:pPr>
                      <w:spacing w:line="480" w:lineRule="exact"/>
                      <w:jc w:val="right"/>
                    </w:pPr>
                    <w:r>
                      <w:t>27</w:t>
                    </w:r>
                  </w:p>
                  <w:p w:rsidR="004E43BE" w:rsidRDefault="004E43BE">
                    <w:pPr>
                      <w:spacing w:line="480" w:lineRule="exact"/>
                      <w:jc w:val="right"/>
                    </w:pPr>
                    <w:r>
                      <w:t>28</w:t>
                    </w:r>
                  </w:p>
                  <w:p w:rsidR="004E43BE" w:rsidRDefault="004E43BE">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-74930</wp:posOffset>
              </wp:positionH>
              <wp:positionV relativeFrom="page">
                <wp:posOffset>0</wp:posOffset>
              </wp:positionV>
              <wp:extent cx="0" cy="10058400"/>
              <wp:effectExtent l="13970" t="12700" r="2413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5pt,0" to="-5.8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6A2BICAAApBAAADgAAAGRycy9lMm9Eb2MueG1srFPBjtowEL1X6j9YvkMSNlC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6174740</wp:posOffset>
              </wp:positionH>
              <wp:positionV relativeFrom="page">
                <wp:posOffset>0</wp:posOffset>
              </wp:positionV>
              <wp:extent cx="0" cy="10058400"/>
              <wp:effectExtent l="15240" t="12700" r="2286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28fBICAAApBAAADgAAAGRycy9lMm9Eb2MueG1srFPBjtowEL1X6j9YvkMSGli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">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17780" t="12700" r="20320"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0" to="-3.5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" o:allowincell="f">
              <w10:wrap anchorx="margin"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21"/>
    <w:multiLevelType w:val="hybridMultilevel"/>
    <w:tmpl w:val="B578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73EB"/>
    <w:multiLevelType w:val="hybridMultilevel"/>
    <w:tmpl w:val="67EADCF2"/>
    <w:lvl w:ilvl="0" w:tplc="FC7CB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07E50"/>
    <w:multiLevelType w:val="hybridMultilevel"/>
    <w:tmpl w:val="D256B124"/>
    <w:lvl w:ilvl="0" w:tplc="E3003B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81A32"/>
    <w:multiLevelType w:val="hybridMultilevel"/>
    <w:tmpl w:val="3482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0FBD"/>
    <w:multiLevelType w:val="hybridMultilevel"/>
    <w:tmpl w:val="D19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484B"/>
    <w:multiLevelType w:val="hybridMultilevel"/>
    <w:tmpl w:val="68CCEDD0"/>
    <w:lvl w:ilvl="0" w:tplc="C7E88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F70BC"/>
    <w:multiLevelType w:val="hybridMultilevel"/>
    <w:tmpl w:val="87649F8E"/>
    <w:lvl w:ilvl="0" w:tplc="089C889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A16E5A"/>
    <w:multiLevelType w:val="hybridMultilevel"/>
    <w:tmpl w:val="92880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F240FF"/>
    <w:multiLevelType w:val="hybridMultilevel"/>
    <w:tmpl w:val="FEF49BD4"/>
    <w:lvl w:ilvl="0" w:tplc="8C8C3E0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C3CB9"/>
    <w:multiLevelType w:val="hybridMultilevel"/>
    <w:tmpl w:val="B09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A7BF0"/>
    <w:multiLevelType w:val="hybridMultilevel"/>
    <w:tmpl w:val="7B167B00"/>
    <w:lvl w:ilvl="0" w:tplc="4A0C2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C866D9"/>
    <w:multiLevelType w:val="hybridMultilevel"/>
    <w:tmpl w:val="096002DA"/>
    <w:lvl w:ilvl="0" w:tplc="4150E46E">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7224405"/>
    <w:multiLevelType w:val="hybridMultilevel"/>
    <w:tmpl w:val="947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C2F6F"/>
    <w:multiLevelType w:val="hybridMultilevel"/>
    <w:tmpl w:val="07742764"/>
    <w:lvl w:ilvl="0" w:tplc="6EF05A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E53BEE"/>
    <w:multiLevelType w:val="hybridMultilevel"/>
    <w:tmpl w:val="D2440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0C3C8D"/>
    <w:multiLevelType w:val="hybridMultilevel"/>
    <w:tmpl w:val="98E03842"/>
    <w:lvl w:ilvl="0" w:tplc="4150E46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F4C5DF7"/>
    <w:multiLevelType w:val="hybridMultilevel"/>
    <w:tmpl w:val="D63676F2"/>
    <w:lvl w:ilvl="0" w:tplc="8958754E">
      <w:start w:val="1"/>
      <w:numFmt w:val="lowerRoman"/>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53842308"/>
    <w:multiLevelType w:val="hybridMultilevel"/>
    <w:tmpl w:val="D522038C"/>
    <w:lvl w:ilvl="0" w:tplc="5AE8F19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EF645F"/>
    <w:multiLevelType w:val="hybridMultilevel"/>
    <w:tmpl w:val="BC4EABC0"/>
    <w:lvl w:ilvl="0" w:tplc="93E8926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377CB"/>
    <w:multiLevelType w:val="hybridMultilevel"/>
    <w:tmpl w:val="17FA1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2F1F0B"/>
    <w:multiLevelType w:val="hybridMultilevel"/>
    <w:tmpl w:val="42529CD4"/>
    <w:lvl w:ilvl="0" w:tplc="B9128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F3545"/>
    <w:multiLevelType w:val="multilevel"/>
    <w:tmpl w:val="FEF49BD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D1D6EF8"/>
    <w:multiLevelType w:val="hybridMultilevel"/>
    <w:tmpl w:val="62E0AB24"/>
    <w:lvl w:ilvl="0" w:tplc="8F5C37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44292E"/>
    <w:multiLevelType w:val="hybridMultilevel"/>
    <w:tmpl w:val="10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371F9"/>
    <w:multiLevelType w:val="hybridMultilevel"/>
    <w:tmpl w:val="67E0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B18C4"/>
    <w:multiLevelType w:val="hybridMultilevel"/>
    <w:tmpl w:val="8FB6BEFE"/>
    <w:lvl w:ilvl="0" w:tplc="4150E46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9A06770"/>
    <w:multiLevelType w:val="hybridMultilevel"/>
    <w:tmpl w:val="CAC8DA68"/>
    <w:lvl w:ilvl="0" w:tplc="4150E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F16B7E"/>
    <w:multiLevelType w:val="hybridMultilevel"/>
    <w:tmpl w:val="41CA6AD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6CCA5531"/>
    <w:multiLevelType w:val="hybridMultilevel"/>
    <w:tmpl w:val="742883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64282"/>
    <w:multiLevelType w:val="hybridMultilevel"/>
    <w:tmpl w:val="680E4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4D1C09"/>
    <w:multiLevelType w:val="hybridMultilevel"/>
    <w:tmpl w:val="7E6C9020"/>
    <w:lvl w:ilvl="0" w:tplc="7C765072">
      <w:start w:val="2"/>
      <w:numFmt w:val="upperLetter"/>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1">
    <w:nsid w:val="764C1A64"/>
    <w:multiLevelType w:val="hybridMultilevel"/>
    <w:tmpl w:val="75E0AB68"/>
    <w:lvl w:ilvl="0" w:tplc="DE0AC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9322F3"/>
    <w:multiLevelType w:val="hybridMultilevel"/>
    <w:tmpl w:val="27D47342"/>
    <w:lvl w:ilvl="0" w:tplc="562A0D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4"/>
  </w:num>
  <w:num w:numId="3">
    <w:abstractNumId w:val="29"/>
  </w:num>
  <w:num w:numId="4">
    <w:abstractNumId w:val="8"/>
  </w:num>
  <w:num w:numId="5">
    <w:abstractNumId w:val="21"/>
  </w:num>
  <w:num w:numId="6">
    <w:abstractNumId w:val="12"/>
  </w:num>
  <w:num w:numId="7">
    <w:abstractNumId w:val="4"/>
  </w:num>
  <w:num w:numId="8">
    <w:abstractNumId w:val="9"/>
  </w:num>
  <w:num w:numId="9">
    <w:abstractNumId w:val="24"/>
  </w:num>
  <w:num w:numId="10">
    <w:abstractNumId w:val="19"/>
  </w:num>
  <w:num w:numId="11">
    <w:abstractNumId w:val="23"/>
  </w:num>
  <w:num w:numId="12">
    <w:abstractNumId w:val="18"/>
  </w:num>
  <w:num w:numId="13">
    <w:abstractNumId w:val="16"/>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7"/>
  </w:num>
  <w:num w:numId="20">
    <w:abstractNumId w:val="0"/>
  </w:num>
  <w:num w:numId="21">
    <w:abstractNumId w:val="3"/>
  </w:num>
  <w:num w:numId="22">
    <w:abstractNumId w:val="22"/>
  </w:num>
  <w:num w:numId="23">
    <w:abstractNumId w:val="32"/>
  </w:num>
  <w:num w:numId="24">
    <w:abstractNumId w:val="2"/>
  </w:num>
  <w:num w:numId="25">
    <w:abstractNumId w:val="17"/>
  </w:num>
  <w:num w:numId="26">
    <w:abstractNumId w:val="30"/>
  </w:num>
  <w:num w:numId="27">
    <w:abstractNumId w:val="26"/>
  </w:num>
  <w:num w:numId="28">
    <w:abstractNumId w:val="11"/>
  </w:num>
  <w:num w:numId="29">
    <w:abstractNumId w:val="15"/>
  </w:num>
  <w:num w:numId="30">
    <w:abstractNumId w:val="25"/>
  </w:num>
  <w:num w:numId="31">
    <w:abstractNumId w:val="31"/>
  </w:num>
  <w:num w:numId="32">
    <w:abstractNumId w:val="6"/>
  </w:num>
  <w:num w:numId="33">
    <w:abstractNumId w:val="13"/>
  </w:num>
  <w:num w:numId="34">
    <w:abstractNumId w:val="1"/>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99"/>
    <w:rsid w:val="0000525F"/>
    <w:rsid w:val="000077D3"/>
    <w:rsid w:val="00010574"/>
    <w:rsid w:val="000121D6"/>
    <w:rsid w:val="0001431A"/>
    <w:rsid w:val="000145AA"/>
    <w:rsid w:val="00017E8F"/>
    <w:rsid w:val="00021670"/>
    <w:rsid w:val="00021DC6"/>
    <w:rsid w:val="00022736"/>
    <w:rsid w:val="00034815"/>
    <w:rsid w:val="000358A1"/>
    <w:rsid w:val="00044899"/>
    <w:rsid w:val="000472A2"/>
    <w:rsid w:val="00047C8D"/>
    <w:rsid w:val="0005237F"/>
    <w:rsid w:val="00053E1D"/>
    <w:rsid w:val="00061E28"/>
    <w:rsid w:val="00061FA0"/>
    <w:rsid w:val="0006509A"/>
    <w:rsid w:val="0007600D"/>
    <w:rsid w:val="00076B6E"/>
    <w:rsid w:val="00076BE0"/>
    <w:rsid w:val="00087DAD"/>
    <w:rsid w:val="000906A8"/>
    <w:rsid w:val="0009355F"/>
    <w:rsid w:val="00095994"/>
    <w:rsid w:val="000B0176"/>
    <w:rsid w:val="000B1B82"/>
    <w:rsid w:val="000B5DFD"/>
    <w:rsid w:val="000B7E23"/>
    <w:rsid w:val="000B7F0E"/>
    <w:rsid w:val="000C34DD"/>
    <w:rsid w:val="000D6A6A"/>
    <w:rsid w:val="000D6D2D"/>
    <w:rsid w:val="000D7578"/>
    <w:rsid w:val="000D7E1D"/>
    <w:rsid w:val="000E1761"/>
    <w:rsid w:val="000E329F"/>
    <w:rsid w:val="000E3DB6"/>
    <w:rsid w:val="000E4931"/>
    <w:rsid w:val="000F275D"/>
    <w:rsid w:val="000F2CC8"/>
    <w:rsid w:val="000F32AF"/>
    <w:rsid w:val="000F650B"/>
    <w:rsid w:val="000F75C6"/>
    <w:rsid w:val="00111387"/>
    <w:rsid w:val="00116FF9"/>
    <w:rsid w:val="001210FD"/>
    <w:rsid w:val="00123A93"/>
    <w:rsid w:val="0012516B"/>
    <w:rsid w:val="001257CF"/>
    <w:rsid w:val="00125BA5"/>
    <w:rsid w:val="0012703D"/>
    <w:rsid w:val="00130BC6"/>
    <w:rsid w:val="00130D3A"/>
    <w:rsid w:val="00134A62"/>
    <w:rsid w:val="00141CEB"/>
    <w:rsid w:val="001450F6"/>
    <w:rsid w:val="001478C8"/>
    <w:rsid w:val="001536C3"/>
    <w:rsid w:val="00157BB9"/>
    <w:rsid w:val="00165247"/>
    <w:rsid w:val="00170EB4"/>
    <w:rsid w:val="0017354B"/>
    <w:rsid w:val="001829AF"/>
    <w:rsid w:val="00186385"/>
    <w:rsid w:val="0019014A"/>
    <w:rsid w:val="00196B5B"/>
    <w:rsid w:val="001A09E6"/>
    <w:rsid w:val="001B3525"/>
    <w:rsid w:val="001B7B55"/>
    <w:rsid w:val="001C0361"/>
    <w:rsid w:val="001C4475"/>
    <w:rsid w:val="001C54C8"/>
    <w:rsid w:val="001D1070"/>
    <w:rsid w:val="001D2CFA"/>
    <w:rsid w:val="001D36A2"/>
    <w:rsid w:val="001D57EE"/>
    <w:rsid w:val="001E39FB"/>
    <w:rsid w:val="001E5CEE"/>
    <w:rsid w:val="001F544F"/>
    <w:rsid w:val="001F72E9"/>
    <w:rsid w:val="001F76BB"/>
    <w:rsid w:val="0020621E"/>
    <w:rsid w:val="00213F2E"/>
    <w:rsid w:val="002143B3"/>
    <w:rsid w:val="00215B13"/>
    <w:rsid w:val="00216456"/>
    <w:rsid w:val="00216F6F"/>
    <w:rsid w:val="0021715F"/>
    <w:rsid w:val="0022162E"/>
    <w:rsid w:val="002277AD"/>
    <w:rsid w:val="002301F6"/>
    <w:rsid w:val="00235A7B"/>
    <w:rsid w:val="00243ACB"/>
    <w:rsid w:val="00246093"/>
    <w:rsid w:val="002472AA"/>
    <w:rsid w:val="00253C3F"/>
    <w:rsid w:val="002621FB"/>
    <w:rsid w:val="00262571"/>
    <w:rsid w:val="00263736"/>
    <w:rsid w:val="0026557F"/>
    <w:rsid w:val="00267F48"/>
    <w:rsid w:val="00274013"/>
    <w:rsid w:val="0029118C"/>
    <w:rsid w:val="00291CDD"/>
    <w:rsid w:val="00296A52"/>
    <w:rsid w:val="002A0BE3"/>
    <w:rsid w:val="002A1A9A"/>
    <w:rsid w:val="002B1A37"/>
    <w:rsid w:val="002C60D3"/>
    <w:rsid w:val="002D0443"/>
    <w:rsid w:val="002D0FB6"/>
    <w:rsid w:val="002E3D18"/>
    <w:rsid w:val="002E5617"/>
    <w:rsid w:val="002E6506"/>
    <w:rsid w:val="002E7530"/>
    <w:rsid w:val="002F26F8"/>
    <w:rsid w:val="002F2B7F"/>
    <w:rsid w:val="00300A5B"/>
    <w:rsid w:val="00305E0B"/>
    <w:rsid w:val="00310C07"/>
    <w:rsid w:val="00322377"/>
    <w:rsid w:val="003224AB"/>
    <w:rsid w:val="00322B79"/>
    <w:rsid w:val="003311BE"/>
    <w:rsid w:val="00331EC6"/>
    <w:rsid w:val="00332280"/>
    <w:rsid w:val="00334A30"/>
    <w:rsid w:val="0034020A"/>
    <w:rsid w:val="00342BC6"/>
    <w:rsid w:val="00342C68"/>
    <w:rsid w:val="003436F5"/>
    <w:rsid w:val="00344617"/>
    <w:rsid w:val="00346933"/>
    <w:rsid w:val="00355C17"/>
    <w:rsid w:val="00356827"/>
    <w:rsid w:val="00364AE2"/>
    <w:rsid w:val="00366764"/>
    <w:rsid w:val="00367C74"/>
    <w:rsid w:val="003701BF"/>
    <w:rsid w:val="003714AE"/>
    <w:rsid w:val="00372DDB"/>
    <w:rsid w:val="00376276"/>
    <w:rsid w:val="00376D1F"/>
    <w:rsid w:val="003779CA"/>
    <w:rsid w:val="00380890"/>
    <w:rsid w:val="003839DA"/>
    <w:rsid w:val="00384782"/>
    <w:rsid w:val="00387E3F"/>
    <w:rsid w:val="0039595A"/>
    <w:rsid w:val="00397F81"/>
    <w:rsid w:val="003A2E2A"/>
    <w:rsid w:val="003A34D1"/>
    <w:rsid w:val="003A456F"/>
    <w:rsid w:val="003A667C"/>
    <w:rsid w:val="003B1061"/>
    <w:rsid w:val="003B66AE"/>
    <w:rsid w:val="003C1EF0"/>
    <w:rsid w:val="003C2486"/>
    <w:rsid w:val="003C2C8C"/>
    <w:rsid w:val="003C3BB9"/>
    <w:rsid w:val="003C41A8"/>
    <w:rsid w:val="003C684B"/>
    <w:rsid w:val="003D1676"/>
    <w:rsid w:val="003D4B92"/>
    <w:rsid w:val="003D75F9"/>
    <w:rsid w:val="003E3FD2"/>
    <w:rsid w:val="003F3F81"/>
    <w:rsid w:val="003F60B8"/>
    <w:rsid w:val="00404137"/>
    <w:rsid w:val="0040561B"/>
    <w:rsid w:val="0040617D"/>
    <w:rsid w:val="00410168"/>
    <w:rsid w:val="00416B9A"/>
    <w:rsid w:val="00421DB9"/>
    <w:rsid w:val="00425E92"/>
    <w:rsid w:val="00425F7C"/>
    <w:rsid w:val="004332BA"/>
    <w:rsid w:val="0043433C"/>
    <w:rsid w:val="00435D74"/>
    <w:rsid w:val="0043748B"/>
    <w:rsid w:val="004423E0"/>
    <w:rsid w:val="004429D5"/>
    <w:rsid w:val="00450E9F"/>
    <w:rsid w:val="004603F6"/>
    <w:rsid w:val="00460750"/>
    <w:rsid w:val="00472CEF"/>
    <w:rsid w:val="00473A4C"/>
    <w:rsid w:val="00474759"/>
    <w:rsid w:val="00474B96"/>
    <w:rsid w:val="00477410"/>
    <w:rsid w:val="00477DC8"/>
    <w:rsid w:val="0048507D"/>
    <w:rsid w:val="00490E3E"/>
    <w:rsid w:val="004923B2"/>
    <w:rsid w:val="004A25D6"/>
    <w:rsid w:val="004A4867"/>
    <w:rsid w:val="004A56C7"/>
    <w:rsid w:val="004A6821"/>
    <w:rsid w:val="004A73CA"/>
    <w:rsid w:val="004A7D37"/>
    <w:rsid w:val="004B589E"/>
    <w:rsid w:val="004B6846"/>
    <w:rsid w:val="004C00CE"/>
    <w:rsid w:val="004C3936"/>
    <w:rsid w:val="004C3E7B"/>
    <w:rsid w:val="004C59C2"/>
    <w:rsid w:val="004C5F7D"/>
    <w:rsid w:val="004C7A07"/>
    <w:rsid w:val="004C7DDC"/>
    <w:rsid w:val="004D2C47"/>
    <w:rsid w:val="004D4EAB"/>
    <w:rsid w:val="004D6699"/>
    <w:rsid w:val="004E299A"/>
    <w:rsid w:val="004E43BE"/>
    <w:rsid w:val="004F2608"/>
    <w:rsid w:val="004F3C75"/>
    <w:rsid w:val="004F4FB8"/>
    <w:rsid w:val="004F5623"/>
    <w:rsid w:val="004F5F36"/>
    <w:rsid w:val="004F6BED"/>
    <w:rsid w:val="00501673"/>
    <w:rsid w:val="00501D1B"/>
    <w:rsid w:val="00502A23"/>
    <w:rsid w:val="005031F0"/>
    <w:rsid w:val="00503D67"/>
    <w:rsid w:val="00505D2A"/>
    <w:rsid w:val="00505E77"/>
    <w:rsid w:val="005108A3"/>
    <w:rsid w:val="00515BC7"/>
    <w:rsid w:val="005200DC"/>
    <w:rsid w:val="00522CD6"/>
    <w:rsid w:val="005244A2"/>
    <w:rsid w:val="00531248"/>
    <w:rsid w:val="005376E9"/>
    <w:rsid w:val="005423D1"/>
    <w:rsid w:val="0054339D"/>
    <w:rsid w:val="0054660E"/>
    <w:rsid w:val="00546F33"/>
    <w:rsid w:val="00557E90"/>
    <w:rsid w:val="0056089E"/>
    <w:rsid w:val="00560D78"/>
    <w:rsid w:val="00561447"/>
    <w:rsid w:val="005637AF"/>
    <w:rsid w:val="00570B2C"/>
    <w:rsid w:val="00571A31"/>
    <w:rsid w:val="005726E9"/>
    <w:rsid w:val="00573F9A"/>
    <w:rsid w:val="00577220"/>
    <w:rsid w:val="00585305"/>
    <w:rsid w:val="005904F8"/>
    <w:rsid w:val="00590903"/>
    <w:rsid w:val="005970B1"/>
    <w:rsid w:val="005978DB"/>
    <w:rsid w:val="00597DBB"/>
    <w:rsid w:val="005A103D"/>
    <w:rsid w:val="005A27D9"/>
    <w:rsid w:val="005A2E8D"/>
    <w:rsid w:val="005A3303"/>
    <w:rsid w:val="005A63D5"/>
    <w:rsid w:val="005B4F76"/>
    <w:rsid w:val="005B4FC1"/>
    <w:rsid w:val="005B5DF7"/>
    <w:rsid w:val="005B5FD4"/>
    <w:rsid w:val="005C01C1"/>
    <w:rsid w:val="005C265B"/>
    <w:rsid w:val="005C2BE0"/>
    <w:rsid w:val="005C347A"/>
    <w:rsid w:val="005C6D7A"/>
    <w:rsid w:val="005D2620"/>
    <w:rsid w:val="005D406C"/>
    <w:rsid w:val="005D51B5"/>
    <w:rsid w:val="005E2C05"/>
    <w:rsid w:val="005F0981"/>
    <w:rsid w:val="005F500A"/>
    <w:rsid w:val="005F543D"/>
    <w:rsid w:val="005F6CAC"/>
    <w:rsid w:val="006018FA"/>
    <w:rsid w:val="00603C83"/>
    <w:rsid w:val="0060680B"/>
    <w:rsid w:val="00610E1E"/>
    <w:rsid w:val="00620733"/>
    <w:rsid w:val="006227FB"/>
    <w:rsid w:val="00623DE2"/>
    <w:rsid w:val="00632BDB"/>
    <w:rsid w:val="00636DBC"/>
    <w:rsid w:val="006415EE"/>
    <w:rsid w:val="00645084"/>
    <w:rsid w:val="00645952"/>
    <w:rsid w:val="00647298"/>
    <w:rsid w:val="00650051"/>
    <w:rsid w:val="00650A0A"/>
    <w:rsid w:val="00650D48"/>
    <w:rsid w:val="00650F90"/>
    <w:rsid w:val="0065130A"/>
    <w:rsid w:val="006542C1"/>
    <w:rsid w:val="00654C4E"/>
    <w:rsid w:val="00657C7A"/>
    <w:rsid w:val="00666222"/>
    <w:rsid w:val="00671B90"/>
    <w:rsid w:val="00671E13"/>
    <w:rsid w:val="00676F1C"/>
    <w:rsid w:val="00682543"/>
    <w:rsid w:val="0068447E"/>
    <w:rsid w:val="00686C27"/>
    <w:rsid w:val="006917DC"/>
    <w:rsid w:val="00691CEF"/>
    <w:rsid w:val="0069206D"/>
    <w:rsid w:val="00692B2A"/>
    <w:rsid w:val="00692B38"/>
    <w:rsid w:val="006A19A1"/>
    <w:rsid w:val="006A2D71"/>
    <w:rsid w:val="006A2F7B"/>
    <w:rsid w:val="006A7EEC"/>
    <w:rsid w:val="006C2EA8"/>
    <w:rsid w:val="006C5DE8"/>
    <w:rsid w:val="006D185C"/>
    <w:rsid w:val="006D1A60"/>
    <w:rsid w:val="006D48F1"/>
    <w:rsid w:val="006D7AB6"/>
    <w:rsid w:val="006E22C0"/>
    <w:rsid w:val="006F0AD0"/>
    <w:rsid w:val="00707175"/>
    <w:rsid w:val="00720259"/>
    <w:rsid w:val="0072489B"/>
    <w:rsid w:val="00725BA8"/>
    <w:rsid w:val="00726C99"/>
    <w:rsid w:val="00731465"/>
    <w:rsid w:val="00736BA1"/>
    <w:rsid w:val="0074201C"/>
    <w:rsid w:val="007436F0"/>
    <w:rsid w:val="00744F5D"/>
    <w:rsid w:val="0075634A"/>
    <w:rsid w:val="007602B6"/>
    <w:rsid w:val="007609AE"/>
    <w:rsid w:val="00763031"/>
    <w:rsid w:val="00765EC0"/>
    <w:rsid w:val="007737A0"/>
    <w:rsid w:val="00774435"/>
    <w:rsid w:val="00781FEC"/>
    <w:rsid w:val="00784B9D"/>
    <w:rsid w:val="007862BC"/>
    <w:rsid w:val="00793518"/>
    <w:rsid w:val="00795DC9"/>
    <w:rsid w:val="007B0E23"/>
    <w:rsid w:val="007B1643"/>
    <w:rsid w:val="007B2F4E"/>
    <w:rsid w:val="007B3776"/>
    <w:rsid w:val="007B79D9"/>
    <w:rsid w:val="007C122D"/>
    <w:rsid w:val="007C2D76"/>
    <w:rsid w:val="007C63E4"/>
    <w:rsid w:val="007C7710"/>
    <w:rsid w:val="007C7B27"/>
    <w:rsid w:val="007C7C8A"/>
    <w:rsid w:val="007D4E17"/>
    <w:rsid w:val="007D645C"/>
    <w:rsid w:val="007E0814"/>
    <w:rsid w:val="007F0AB1"/>
    <w:rsid w:val="007F4F1D"/>
    <w:rsid w:val="007F5893"/>
    <w:rsid w:val="007F5BF5"/>
    <w:rsid w:val="007F74B3"/>
    <w:rsid w:val="007F74EA"/>
    <w:rsid w:val="0080329B"/>
    <w:rsid w:val="00805C60"/>
    <w:rsid w:val="00810B7B"/>
    <w:rsid w:val="00823035"/>
    <w:rsid w:val="008275D9"/>
    <w:rsid w:val="008411E4"/>
    <w:rsid w:val="00843EF3"/>
    <w:rsid w:val="00846A17"/>
    <w:rsid w:val="00846C10"/>
    <w:rsid w:val="008571FE"/>
    <w:rsid w:val="008629BC"/>
    <w:rsid w:val="00880D3D"/>
    <w:rsid w:val="00883586"/>
    <w:rsid w:val="0088502A"/>
    <w:rsid w:val="00887A6C"/>
    <w:rsid w:val="008A4088"/>
    <w:rsid w:val="008A40BC"/>
    <w:rsid w:val="008A66D5"/>
    <w:rsid w:val="008A6B84"/>
    <w:rsid w:val="008B0A1B"/>
    <w:rsid w:val="008B20B3"/>
    <w:rsid w:val="008B5491"/>
    <w:rsid w:val="008C103E"/>
    <w:rsid w:val="008D0D54"/>
    <w:rsid w:val="008E43C9"/>
    <w:rsid w:val="008E4E6F"/>
    <w:rsid w:val="008E6292"/>
    <w:rsid w:val="008E7199"/>
    <w:rsid w:val="008F27DB"/>
    <w:rsid w:val="008F4D9E"/>
    <w:rsid w:val="00905BC9"/>
    <w:rsid w:val="009101F8"/>
    <w:rsid w:val="00910767"/>
    <w:rsid w:val="00916456"/>
    <w:rsid w:val="00916695"/>
    <w:rsid w:val="00925539"/>
    <w:rsid w:val="0092565B"/>
    <w:rsid w:val="009276BA"/>
    <w:rsid w:val="00930AAE"/>
    <w:rsid w:val="009318C8"/>
    <w:rsid w:val="009319E2"/>
    <w:rsid w:val="00937694"/>
    <w:rsid w:val="009447D2"/>
    <w:rsid w:val="0095201E"/>
    <w:rsid w:val="0095750B"/>
    <w:rsid w:val="00957686"/>
    <w:rsid w:val="00961172"/>
    <w:rsid w:val="009679E5"/>
    <w:rsid w:val="00974BC6"/>
    <w:rsid w:val="00976265"/>
    <w:rsid w:val="00976A00"/>
    <w:rsid w:val="00980F89"/>
    <w:rsid w:val="00987913"/>
    <w:rsid w:val="00990A15"/>
    <w:rsid w:val="00991D0F"/>
    <w:rsid w:val="00991FF7"/>
    <w:rsid w:val="009952A8"/>
    <w:rsid w:val="00997DF5"/>
    <w:rsid w:val="009A097F"/>
    <w:rsid w:val="009A1C53"/>
    <w:rsid w:val="009A23FF"/>
    <w:rsid w:val="009A7395"/>
    <w:rsid w:val="009B2ACB"/>
    <w:rsid w:val="009B3161"/>
    <w:rsid w:val="009B408D"/>
    <w:rsid w:val="009B414D"/>
    <w:rsid w:val="009B51A7"/>
    <w:rsid w:val="009B53A7"/>
    <w:rsid w:val="009C0069"/>
    <w:rsid w:val="009C2AA6"/>
    <w:rsid w:val="009C38A5"/>
    <w:rsid w:val="009D203B"/>
    <w:rsid w:val="009D2E47"/>
    <w:rsid w:val="009D3AF6"/>
    <w:rsid w:val="009D75CF"/>
    <w:rsid w:val="009E087D"/>
    <w:rsid w:val="009E0AD7"/>
    <w:rsid w:val="009E2E23"/>
    <w:rsid w:val="009E4A08"/>
    <w:rsid w:val="009E5591"/>
    <w:rsid w:val="009F2F57"/>
    <w:rsid w:val="00A03B17"/>
    <w:rsid w:val="00A07FD8"/>
    <w:rsid w:val="00A1049F"/>
    <w:rsid w:val="00A14D9B"/>
    <w:rsid w:val="00A248D0"/>
    <w:rsid w:val="00A2535C"/>
    <w:rsid w:val="00A25581"/>
    <w:rsid w:val="00A2626F"/>
    <w:rsid w:val="00A41512"/>
    <w:rsid w:val="00A47364"/>
    <w:rsid w:val="00A47F3C"/>
    <w:rsid w:val="00A51AE5"/>
    <w:rsid w:val="00A530E6"/>
    <w:rsid w:val="00A53583"/>
    <w:rsid w:val="00A549F0"/>
    <w:rsid w:val="00A5690E"/>
    <w:rsid w:val="00A56F23"/>
    <w:rsid w:val="00A5739F"/>
    <w:rsid w:val="00A61813"/>
    <w:rsid w:val="00A619C2"/>
    <w:rsid w:val="00A6209F"/>
    <w:rsid w:val="00A6391F"/>
    <w:rsid w:val="00A70287"/>
    <w:rsid w:val="00A70668"/>
    <w:rsid w:val="00A71397"/>
    <w:rsid w:val="00A90846"/>
    <w:rsid w:val="00A96972"/>
    <w:rsid w:val="00AA051F"/>
    <w:rsid w:val="00AA2AD3"/>
    <w:rsid w:val="00AB0EA9"/>
    <w:rsid w:val="00AB25CC"/>
    <w:rsid w:val="00AD006D"/>
    <w:rsid w:val="00AD0A59"/>
    <w:rsid w:val="00AD2AAE"/>
    <w:rsid w:val="00AE1700"/>
    <w:rsid w:val="00AE59B6"/>
    <w:rsid w:val="00AE623B"/>
    <w:rsid w:val="00AE660B"/>
    <w:rsid w:val="00AF1C62"/>
    <w:rsid w:val="00AF2B36"/>
    <w:rsid w:val="00AF35A0"/>
    <w:rsid w:val="00AF361B"/>
    <w:rsid w:val="00AF6570"/>
    <w:rsid w:val="00B06AF0"/>
    <w:rsid w:val="00B160D1"/>
    <w:rsid w:val="00B17752"/>
    <w:rsid w:val="00B20A8C"/>
    <w:rsid w:val="00B2194E"/>
    <w:rsid w:val="00B21DA0"/>
    <w:rsid w:val="00B21E39"/>
    <w:rsid w:val="00B24B00"/>
    <w:rsid w:val="00B250DE"/>
    <w:rsid w:val="00B27062"/>
    <w:rsid w:val="00B30E85"/>
    <w:rsid w:val="00B31AE0"/>
    <w:rsid w:val="00B37651"/>
    <w:rsid w:val="00B4086E"/>
    <w:rsid w:val="00B44F4E"/>
    <w:rsid w:val="00B6002D"/>
    <w:rsid w:val="00B6779D"/>
    <w:rsid w:val="00B70742"/>
    <w:rsid w:val="00B73AEA"/>
    <w:rsid w:val="00B749E3"/>
    <w:rsid w:val="00B76571"/>
    <w:rsid w:val="00B77560"/>
    <w:rsid w:val="00B776D0"/>
    <w:rsid w:val="00B77C6B"/>
    <w:rsid w:val="00B85F64"/>
    <w:rsid w:val="00B922D4"/>
    <w:rsid w:val="00B936E1"/>
    <w:rsid w:val="00BB5DAA"/>
    <w:rsid w:val="00BB7EBE"/>
    <w:rsid w:val="00BC0C2C"/>
    <w:rsid w:val="00BC0EBE"/>
    <w:rsid w:val="00BC57EA"/>
    <w:rsid w:val="00BD45C4"/>
    <w:rsid w:val="00BD47BC"/>
    <w:rsid w:val="00BD6974"/>
    <w:rsid w:val="00BD6EC2"/>
    <w:rsid w:val="00BF6A1A"/>
    <w:rsid w:val="00BF7010"/>
    <w:rsid w:val="00C00F5D"/>
    <w:rsid w:val="00C02005"/>
    <w:rsid w:val="00C104D2"/>
    <w:rsid w:val="00C11AFE"/>
    <w:rsid w:val="00C13527"/>
    <w:rsid w:val="00C22D3B"/>
    <w:rsid w:val="00C235A1"/>
    <w:rsid w:val="00C270E0"/>
    <w:rsid w:val="00C27B12"/>
    <w:rsid w:val="00C322AE"/>
    <w:rsid w:val="00C3526F"/>
    <w:rsid w:val="00C35569"/>
    <w:rsid w:val="00C35B15"/>
    <w:rsid w:val="00C405A4"/>
    <w:rsid w:val="00C47028"/>
    <w:rsid w:val="00C47418"/>
    <w:rsid w:val="00C508A5"/>
    <w:rsid w:val="00C515EB"/>
    <w:rsid w:val="00C51ACA"/>
    <w:rsid w:val="00C61494"/>
    <w:rsid w:val="00C61BE7"/>
    <w:rsid w:val="00C6217C"/>
    <w:rsid w:val="00C64A9E"/>
    <w:rsid w:val="00C66297"/>
    <w:rsid w:val="00C66712"/>
    <w:rsid w:val="00C7171A"/>
    <w:rsid w:val="00C738EB"/>
    <w:rsid w:val="00C8304D"/>
    <w:rsid w:val="00C84551"/>
    <w:rsid w:val="00C92C6E"/>
    <w:rsid w:val="00C963FE"/>
    <w:rsid w:val="00CA5852"/>
    <w:rsid w:val="00CB6AF8"/>
    <w:rsid w:val="00CB70B8"/>
    <w:rsid w:val="00CC076E"/>
    <w:rsid w:val="00CC6198"/>
    <w:rsid w:val="00CC6775"/>
    <w:rsid w:val="00CC720B"/>
    <w:rsid w:val="00CD1A85"/>
    <w:rsid w:val="00CD48DF"/>
    <w:rsid w:val="00CD69B7"/>
    <w:rsid w:val="00CD6D6F"/>
    <w:rsid w:val="00CE2921"/>
    <w:rsid w:val="00CE3FF5"/>
    <w:rsid w:val="00CE467A"/>
    <w:rsid w:val="00CF0706"/>
    <w:rsid w:val="00CF345D"/>
    <w:rsid w:val="00CF41D9"/>
    <w:rsid w:val="00CF42E7"/>
    <w:rsid w:val="00D012BD"/>
    <w:rsid w:val="00D02064"/>
    <w:rsid w:val="00D068B3"/>
    <w:rsid w:val="00D0789E"/>
    <w:rsid w:val="00D11A43"/>
    <w:rsid w:val="00D11C26"/>
    <w:rsid w:val="00D202BA"/>
    <w:rsid w:val="00D20533"/>
    <w:rsid w:val="00D2334C"/>
    <w:rsid w:val="00D303B3"/>
    <w:rsid w:val="00D3117B"/>
    <w:rsid w:val="00D40CA6"/>
    <w:rsid w:val="00D46C4C"/>
    <w:rsid w:val="00D4736D"/>
    <w:rsid w:val="00D54C1A"/>
    <w:rsid w:val="00D55C5F"/>
    <w:rsid w:val="00D56409"/>
    <w:rsid w:val="00D60651"/>
    <w:rsid w:val="00D6411A"/>
    <w:rsid w:val="00D7081A"/>
    <w:rsid w:val="00D752E8"/>
    <w:rsid w:val="00D75731"/>
    <w:rsid w:val="00D765AA"/>
    <w:rsid w:val="00D76EBF"/>
    <w:rsid w:val="00D77C7D"/>
    <w:rsid w:val="00D848E9"/>
    <w:rsid w:val="00D854F7"/>
    <w:rsid w:val="00D94343"/>
    <w:rsid w:val="00DA17BB"/>
    <w:rsid w:val="00DA6531"/>
    <w:rsid w:val="00DB0345"/>
    <w:rsid w:val="00DB32F8"/>
    <w:rsid w:val="00DB7CEC"/>
    <w:rsid w:val="00DC053D"/>
    <w:rsid w:val="00DC2EDB"/>
    <w:rsid w:val="00DC34DC"/>
    <w:rsid w:val="00DC4AF1"/>
    <w:rsid w:val="00DC6912"/>
    <w:rsid w:val="00DD248F"/>
    <w:rsid w:val="00DD2702"/>
    <w:rsid w:val="00DD5B56"/>
    <w:rsid w:val="00DE14BB"/>
    <w:rsid w:val="00DE3D6A"/>
    <w:rsid w:val="00DE433A"/>
    <w:rsid w:val="00DE6763"/>
    <w:rsid w:val="00DF06FE"/>
    <w:rsid w:val="00DF1C66"/>
    <w:rsid w:val="00DF3933"/>
    <w:rsid w:val="00E0191F"/>
    <w:rsid w:val="00E0744C"/>
    <w:rsid w:val="00E074F9"/>
    <w:rsid w:val="00E11013"/>
    <w:rsid w:val="00E112B4"/>
    <w:rsid w:val="00E11E1B"/>
    <w:rsid w:val="00E12130"/>
    <w:rsid w:val="00E131B6"/>
    <w:rsid w:val="00E137CF"/>
    <w:rsid w:val="00E15DE5"/>
    <w:rsid w:val="00E270C4"/>
    <w:rsid w:val="00E27B78"/>
    <w:rsid w:val="00E3122B"/>
    <w:rsid w:val="00E31F4F"/>
    <w:rsid w:val="00E418EA"/>
    <w:rsid w:val="00E529E4"/>
    <w:rsid w:val="00E54370"/>
    <w:rsid w:val="00E56347"/>
    <w:rsid w:val="00E617DD"/>
    <w:rsid w:val="00E64C2F"/>
    <w:rsid w:val="00E66993"/>
    <w:rsid w:val="00E67850"/>
    <w:rsid w:val="00E7221A"/>
    <w:rsid w:val="00E80C58"/>
    <w:rsid w:val="00E82C18"/>
    <w:rsid w:val="00E8755F"/>
    <w:rsid w:val="00E91C66"/>
    <w:rsid w:val="00E93F30"/>
    <w:rsid w:val="00E97BC0"/>
    <w:rsid w:val="00EA0E53"/>
    <w:rsid w:val="00EA2799"/>
    <w:rsid w:val="00EA3230"/>
    <w:rsid w:val="00EA4341"/>
    <w:rsid w:val="00EB0727"/>
    <w:rsid w:val="00EB7ADE"/>
    <w:rsid w:val="00EC1185"/>
    <w:rsid w:val="00EC384D"/>
    <w:rsid w:val="00EC76D3"/>
    <w:rsid w:val="00EE0172"/>
    <w:rsid w:val="00EE0673"/>
    <w:rsid w:val="00EE61E9"/>
    <w:rsid w:val="00EF1F44"/>
    <w:rsid w:val="00EF23E1"/>
    <w:rsid w:val="00EF4AD8"/>
    <w:rsid w:val="00EF4DCC"/>
    <w:rsid w:val="00EF4FFE"/>
    <w:rsid w:val="00EF6240"/>
    <w:rsid w:val="00F035E4"/>
    <w:rsid w:val="00F03DDB"/>
    <w:rsid w:val="00F0778B"/>
    <w:rsid w:val="00F108F9"/>
    <w:rsid w:val="00F12806"/>
    <w:rsid w:val="00F12AE6"/>
    <w:rsid w:val="00F14B76"/>
    <w:rsid w:val="00F20BCE"/>
    <w:rsid w:val="00F30271"/>
    <w:rsid w:val="00F34E00"/>
    <w:rsid w:val="00F4628B"/>
    <w:rsid w:val="00F477C5"/>
    <w:rsid w:val="00F560E8"/>
    <w:rsid w:val="00F622E1"/>
    <w:rsid w:val="00F67221"/>
    <w:rsid w:val="00F7185F"/>
    <w:rsid w:val="00F74694"/>
    <w:rsid w:val="00F7560F"/>
    <w:rsid w:val="00F76B58"/>
    <w:rsid w:val="00F77FC5"/>
    <w:rsid w:val="00F83790"/>
    <w:rsid w:val="00F83D25"/>
    <w:rsid w:val="00F83E36"/>
    <w:rsid w:val="00F9474E"/>
    <w:rsid w:val="00FA057D"/>
    <w:rsid w:val="00FA0B29"/>
    <w:rsid w:val="00FA1546"/>
    <w:rsid w:val="00FA22AC"/>
    <w:rsid w:val="00FA43E1"/>
    <w:rsid w:val="00FB3C83"/>
    <w:rsid w:val="00FB5140"/>
    <w:rsid w:val="00FB5D60"/>
    <w:rsid w:val="00FC2149"/>
    <w:rsid w:val="00FC2A27"/>
    <w:rsid w:val="00FE3520"/>
    <w:rsid w:val="00FE6A61"/>
    <w:rsid w:val="00FE6BB8"/>
    <w:rsid w:val="00FF0A44"/>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C99"/>
    <w:pPr>
      <w:spacing w:line="240" w:lineRule="exact"/>
    </w:pPr>
    <w:rPr>
      <w:sz w:val="24"/>
      <w:szCs w:val="24"/>
    </w:rPr>
  </w:style>
  <w:style w:type="paragraph" w:styleId="Heading1">
    <w:name w:val="heading 1"/>
    <w:basedOn w:val="Normal"/>
    <w:next w:val="Normal"/>
    <w:link w:val="Heading1Char"/>
    <w:qFormat/>
    <w:rsid w:val="00B21DA0"/>
    <w:pPr>
      <w:keepNext/>
      <w:spacing w:before="240" w:after="60"/>
      <w:outlineLvl w:val="0"/>
    </w:pPr>
    <w:rPr>
      <w:rFonts w:ascii="Cambria" w:eastAsia="MS Gothic"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 Double"/>
    <w:aliases w:val="btd"/>
    <w:basedOn w:val="Normal"/>
    <w:rsid w:val="00726C99"/>
    <w:pPr>
      <w:spacing w:line="480" w:lineRule="exact"/>
      <w:ind w:firstLine="720"/>
      <w:jc w:val="both"/>
    </w:pPr>
  </w:style>
  <w:style w:type="character" w:styleId="PageNumber">
    <w:name w:val="page number"/>
    <w:basedOn w:val="DefaultParagraphFont"/>
    <w:rsid w:val="00726C99"/>
  </w:style>
  <w:style w:type="paragraph" w:customStyle="1" w:styleId="TOCTitle">
    <w:name w:val="TOC Title"/>
    <w:basedOn w:val="Normal"/>
    <w:next w:val="Normal"/>
    <w:rsid w:val="00726C99"/>
    <w:pPr>
      <w:keepNext/>
      <w:spacing w:after="240"/>
      <w:jc w:val="center"/>
    </w:pPr>
    <w:rPr>
      <w:b/>
      <w:caps/>
    </w:rPr>
  </w:style>
  <w:style w:type="paragraph" w:styleId="Footer">
    <w:name w:val="footer"/>
    <w:basedOn w:val="Normal"/>
    <w:rsid w:val="00726C99"/>
    <w:pPr>
      <w:tabs>
        <w:tab w:val="center" w:pos="4680"/>
        <w:tab w:val="right" w:pos="9360"/>
      </w:tabs>
      <w:spacing w:line="240" w:lineRule="auto"/>
    </w:pPr>
  </w:style>
  <w:style w:type="paragraph" w:styleId="Header">
    <w:name w:val="header"/>
    <w:basedOn w:val="Normal"/>
    <w:link w:val="HeaderChar"/>
    <w:rsid w:val="00726C99"/>
    <w:pPr>
      <w:tabs>
        <w:tab w:val="center" w:pos="4680"/>
        <w:tab w:val="right" w:pos="9360"/>
      </w:tabs>
    </w:pPr>
  </w:style>
  <w:style w:type="paragraph" w:customStyle="1" w:styleId="FirmInformation">
    <w:name w:val="Firm Information"/>
    <w:basedOn w:val="Normal"/>
    <w:rsid w:val="00726C99"/>
    <w:pPr>
      <w:tabs>
        <w:tab w:val="left" w:pos="187"/>
      </w:tabs>
    </w:pPr>
  </w:style>
  <w:style w:type="paragraph" w:customStyle="1" w:styleId="Court">
    <w:name w:val="Court"/>
    <w:basedOn w:val="Normal"/>
    <w:rsid w:val="00726C99"/>
    <w:pPr>
      <w:keepNext/>
      <w:spacing w:after="240"/>
      <w:jc w:val="center"/>
    </w:pPr>
    <w:rPr>
      <w:caps/>
    </w:rPr>
  </w:style>
  <w:style w:type="paragraph" w:customStyle="1" w:styleId="CaptionInformation">
    <w:name w:val="Caption Information"/>
    <w:basedOn w:val="Normal"/>
    <w:rsid w:val="00726C99"/>
  </w:style>
  <w:style w:type="paragraph" w:customStyle="1" w:styleId="PleadingSignature">
    <w:name w:val="Pleading Signature"/>
    <w:basedOn w:val="Normal"/>
    <w:rsid w:val="00726C99"/>
    <w:pPr>
      <w:tabs>
        <w:tab w:val="left" w:pos="187"/>
      </w:tabs>
    </w:pPr>
  </w:style>
  <w:style w:type="paragraph" w:customStyle="1" w:styleId="CaseNo">
    <w:name w:val="CaseNo"/>
    <w:basedOn w:val="Normal"/>
    <w:rsid w:val="00726C99"/>
    <w:pPr>
      <w:spacing w:after="240"/>
    </w:pPr>
  </w:style>
  <w:style w:type="paragraph" w:customStyle="1" w:styleId="Char">
    <w:name w:val="Char"/>
    <w:basedOn w:val="Normal"/>
    <w:rsid w:val="00726C99"/>
    <w:pPr>
      <w:spacing w:after="160"/>
    </w:pPr>
    <w:rPr>
      <w:rFonts w:ascii="Verdana" w:hAnsi="Verdana" w:cs="Verdana"/>
      <w:sz w:val="20"/>
      <w:szCs w:val="20"/>
    </w:rPr>
  </w:style>
  <w:style w:type="paragraph" w:styleId="FootnoteText">
    <w:name w:val="footnote text"/>
    <w:basedOn w:val="Normal"/>
    <w:link w:val="FootnoteTextChar"/>
    <w:rsid w:val="00991FF7"/>
    <w:rPr>
      <w:sz w:val="20"/>
      <w:szCs w:val="20"/>
    </w:rPr>
  </w:style>
  <w:style w:type="character" w:customStyle="1" w:styleId="FootnoteTextChar">
    <w:name w:val="Footnote Text Char"/>
    <w:basedOn w:val="DefaultParagraphFont"/>
    <w:link w:val="FootnoteText"/>
    <w:rsid w:val="00991FF7"/>
  </w:style>
  <w:style w:type="character" w:styleId="FootnoteReference">
    <w:name w:val="footnote reference"/>
    <w:basedOn w:val="DefaultParagraphFont"/>
    <w:rsid w:val="00991FF7"/>
    <w:rPr>
      <w:vertAlign w:val="superscript"/>
    </w:rPr>
  </w:style>
  <w:style w:type="paragraph" w:styleId="ListParagraph">
    <w:name w:val="List Paragraph"/>
    <w:basedOn w:val="Normal"/>
    <w:uiPriority w:val="34"/>
    <w:qFormat/>
    <w:rsid w:val="00CD69B7"/>
    <w:pPr>
      <w:spacing w:line="480" w:lineRule="auto"/>
      <w:ind w:left="720" w:firstLine="547"/>
      <w:contextualSpacing/>
    </w:pPr>
    <w:rPr>
      <w:rFonts w:ascii="Calibri" w:eastAsia="Calibri" w:hAnsi="Calibri"/>
      <w:sz w:val="22"/>
      <w:szCs w:val="22"/>
    </w:rPr>
  </w:style>
  <w:style w:type="paragraph" w:customStyle="1" w:styleId="AttorneyName">
    <w:name w:val="Attorney Name"/>
    <w:basedOn w:val="Normal"/>
    <w:rsid w:val="002B1A37"/>
    <w:pPr>
      <w:spacing w:line="227" w:lineRule="exact"/>
    </w:pPr>
    <w:rPr>
      <w:rFonts w:ascii="Courier New" w:hAnsi="Courier New"/>
      <w:sz w:val="18"/>
      <w:szCs w:val="20"/>
    </w:rPr>
  </w:style>
  <w:style w:type="paragraph" w:customStyle="1" w:styleId="SingleSpacing">
    <w:name w:val="Single Spacing"/>
    <w:basedOn w:val="Normal"/>
    <w:rsid w:val="001829AF"/>
    <w:pPr>
      <w:spacing w:line="227" w:lineRule="exact"/>
    </w:pPr>
    <w:rPr>
      <w:rFonts w:ascii="Courier New" w:hAnsi="Courier New"/>
      <w:sz w:val="18"/>
      <w:szCs w:val="20"/>
    </w:rPr>
  </w:style>
  <w:style w:type="character" w:customStyle="1" w:styleId="apple-style-span">
    <w:name w:val="apple-style-span"/>
    <w:basedOn w:val="DefaultParagraphFont"/>
    <w:rsid w:val="00D765AA"/>
  </w:style>
  <w:style w:type="character" w:customStyle="1" w:styleId="apple-converted-space">
    <w:name w:val="apple-converted-space"/>
    <w:basedOn w:val="DefaultParagraphFont"/>
    <w:rsid w:val="00D765AA"/>
  </w:style>
  <w:style w:type="character" w:customStyle="1" w:styleId="Heading1Char">
    <w:name w:val="Heading 1 Char"/>
    <w:basedOn w:val="DefaultParagraphFont"/>
    <w:link w:val="Heading1"/>
    <w:rsid w:val="00B21DA0"/>
    <w:rPr>
      <w:rFonts w:ascii="Cambria" w:eastAsia="MS Gothic" w:hAnsi="Cambria" w:cs="Times New Roman"/>
      <w:b/>
      <w:bCs/>
      <w:kern w:val="32"/>
      <w:sz w:val="32"/>
      <w:szCs w:val="32"/>
      <w:lang w:eastAsia="en-US"/>
    </w:rPr>
  </w:style>
  <w:style w:type="character" w:styleId="Emphasis">
    <w:name w:val="Emphasis"/>
    <w:basedOn w:val="DefaultParagraphFont"/>
    <w:qFormat/>
    <w:rsid w:val="00B21DA0"/>
    <w:rPr>
      <w:i/>
      <w:iCs/>
    </w:rPr>
  </w:style>
  <w:style w:type="character" w:styleId="Strong">
    <w:name w:val="Strong"/>
    <w:basedOn w:val="DefaultParagraphFont"/>
    <w:qFormat/>
    <w:rsid w:val="00B21DA0"/>
    <w:rPr>
      <w:b/>
      <w:bCs/>
    </w:rPr>
  </w:style>
  <w:style w:type="paragraph" w:styleId="Subtitle">
    <w:name w:val="Subtitle"/>
    <w:basedOn w:val="Normal"/>
    <w:next w:val="Normal"/>
    <w:link w:val="SubtitleChar"/>
    <w:qFormat/>
    <w:rsid w:val="00B21DA0"/>
    <w:pPr>
      <w:spacing w:after="60"/>
      <w:jc w:val="center"/>
      <w:outlineLvl w:val="1"/>
    </w:pPr>
    <w:rPr>
      <w:rFonts w:ascii="Cambria" w:eastAsia="MS Gothic" w:hAnsi="Cambria"/>
    </w:rPr>
  </w:style>
  <w:style w:type="character" w:customStyle="1" w:styleId="SubtitleChar">
    <w:name w:val="Subtitle Char"/>
    <w:basedOn w:val="DefaultParagraphFont"/>
    <w:link w:val="Subtitle"/>
    <w:rsid w:val="00B21DA0"/>
    <w:rPr>
      <w:rFonts w:ascii="Cambria" w:eastAsia="MS Gothic" w:hAnsi="Cambria" w:cs="Times New Roman"/>
      <w:sz w:val="24"/>
      <w:szCs w:val="24"/>
      <w:lang w:eastAsia="en-US"/>
    </w:rPr>
  </w:style>
  <w:style w:type="character" w:styleId="Hyperlink">
    <w:name w:val="Hyperlink"/>
    <w:basedOn w:val="DefaultParagraphFont"/>
    <w:rsid w:val="00C3526F"/>
    <w:rPr>
      <w:color w:val="0000FF"/>
      <w:u w:val="single"/>
    </w:rPr>
  </w:style>
  <w:style w:type="paragraph" w:customStyle="1" w:styleId="SignatureBlock">
    <w:name w:val="Signature Block"/>
    <w:basedOn w:val="SingleSpacing"/>
    <w:rsid w:val="008C103E"/>
    <w:pPr>
      <w:ind w:left="4680"/>
    </w:pPr>
  </w:style>
  <w:style w:type="paragraph" w:customStyle="1" w:styleId="Signature">
    <w:name w:val="*Signature"/>
    <w:aliases w:val="sig"/>
    <w:basedOn w:val="Normal"/>
    <w:rsid w:val="004E43BE"/>
    <w:pPr>
      <w:keepLines/>
      <w:tabs>
        <w:tab w:val="right" w:pos="9360"/>
      </w:tabs>
      <w:spacing w:after="240" w:line="240" w:lineRule="auto"/>
      <w:ind w:left="5040"/>
    </w:pPr>
  </w:style>
  <w:style w:type="character" w:customStyle="1" w:styleId="HeaderChar">
    <w:name w:val="Header Char"/>
    <w:link w:val="Header"/>
    <w:rsid w:val="004E43BE"/>
    <w:rPr>
      <w:sz w:val="24"/>
      <w:szCs w:val="24"/>
    </w:rPr>
  </w:style>
  <w:style w:type="table" w:styleId="TableGrid">
    <w:name w:val="Table Grid"/>
    <w:basedOn w:val="TableNormal"/>
    <w:uiPriority w:val="59"/>
    <w:rsid w:val="004E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43BE"/>
    <w:rPr>
      <w:sz w:val="24"/>
      <w:szCs w:val="24"/>
    </w:rPr>
  </w:style>
  <w:style w:type="character" w:customStyle="1" w:styleId="cohl">
    <w:name w:val="co_hl"/>
    <w:rsid w:val="00B76571"/>
  </w:style>
  <w:style w:type="paragraph" w:styleId="BalloonText">
    <w:name w:val="Balloon Text"/>
    <w:basedOn w:val="Normal"/>
    <w:link w:val="BalloonTextChar"/>
    <w:rsid w:val="003701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01BF"/>
    <w:rPr>
      <w:rFonts w:ascii="Tahoma" w:hAnsi="Tahoma" w:cs="Tahoma"/>
      <w:sz w:val="16"/>
      <w:szCs w:val="16"/>
    </w:rPr>
  </w:style>
  <w:style w:type="character" w:styleId="FollowedHyperlink">
    <w:name w:val="FollowedHyperlink"/>
    <w:basedOn w:val="DefaultParagraphFont"/>
    <w:rsid w:val="00076B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C99"/>
    <w:pPr>
      <w:spacing w:line="240" w:lineRule="exact"/>
    </w:pPr>
    <w:rPr>
      <w:sz w:val="24"/>
      <w:szCs w:val="24"/>
    </w:rPr>
  </w:style>
  <w:style w:type="paragraph" w:styleId="Heading1">
    <w:name w:val="heading 1"/>
    <w:basedOn w:val="Normal"/>
    <w:next w:val="Normal"/>
    <w:link w:val="Heading1Char"/>
    <w:qFormat/>
    <w:rsid w:val="00B21DA0"/>
    <w:pPr>
      <w:keepNext/>
      <w:spacing w:before="240" w:after="60"/>
      <w:outlineLvl w:val="0"/>
    </w:pPr>
    <w:rPr>
      <w:rFonts w:ascii="Cambria" w:eastAsia="MS Gothic"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 Double"/>
    <w:aliases w:val="btd"/>
    <w:basedOn w:val="Normal"/>
    <w:rsid w:val="00726C99"/>
    <w:pPr>
      <w:spacing w:line="480" w:lineRule="exact"/>
      <w:ind w:firstLine="720"/>
      <w:jc w:val="both"/>
    </w:pPr>
  </w:style>
  <w:style w:type="character" w:styleId="PageNumber">
    <w:name w:val="page number"/>
    <w:basedOn w:val="DefaultParagraphFont"/>
    <w:rsid w:val="00726C99"/>
  </w:style>
  <w:style w:type="paragraph" w:customStyle="1" w:styleId="TOCTitle">
    <w:name w:val="TOC Title"/>
    <w:basedOn w:val="Normal"/>
    <w:next w:val="Normal"/>
    <w:rsid w:val="00726C99"/>
    <w:pPr>
      <w:keepNext/>
      <w:spacing w:after="240"/>
      <w:jc w:val="center"/>
    </w:pPr>
    <w:rPr>
      <w:b/>
      <w:caps/>
    </w:rPr>
  </w:style>
  <w:style w:type="paragraph" w:styleId="Footer">
    <w:name w:val="footer"/>
    <w:basedOn w:val="Normal"/>
    <w:rsid w:val="00726C99"/>
    <w:pPr>
      <w:tabs>
        <w:tab w:val="center" w:pos="4680"/>
        <w:tab w:val="right" w:pos="9360"/>
      </w:tabs>
      <w:spacing w:line="240" w:lineRule="auto"/>
    </w:pPr>
  </w:style>
  <w:style w:type="paragraph" w:styleId="Header">
    <w:name w:val="header"/>
    <w:basedOn w:val="Normal"/>
    <w:link w:val="HeaderChar"/>
    <w:rsid w:val="00726C99"/>
    <w:pPr>
      <w:tabs>
        <w:tab w:val="center" w:pos="4680"/>
        <w:tab w:val="right" w:pos="9360"/>
      </w:tabs>
    </w:pPr>
  </w:style>
  <w:style w:type="paragraph" w:customStyle="1" w:styleId="FirmInformation">
    <w:name w:val="Firm Information"/>
    <w:basedOn w:val="Normal"/>
    <w:rsid w:val="00726C99"/>
    <w:pPr>
      <w:tabs>
        <w:tab w:val="left" w:pos="187"/>
      </w:tabs>
    </w:pPr>
  </w:style>
  <w:style w:type="paragraph" w:customStyle="1" w:styleId="Court">
    <w:name w:val="Court"/>
    <w:basedOn w:val="Normal"/>
    <w:rsid w:val="00726C99"/>
    <w:pPr>
      <w:keepNext/>
      <w:spacing w:after="240"/>
      <w:jc w:val="center"/>
    </w:pPr>
    <w:rPr>
      <w:caps/>
    </w:rPr>
  </w:style>
  <w:style w:type="paragraph" w:customStyle="1" w:styleId="CaptionInformation">
    <w:name w:val="Caption Information"/>
    <w:basedOn w:val="Normal"/>
    <w:rsid w:val="00726C99"/>
  </w:style>
  <w:style w:type="paragraph" w:customStyle="1" w:styleId="PleadingSignature">
    <w:name w:val="Pleading Signature"/>
    <w:basedOn w:val="Normal"/>
    <w:rsid w:val="00726C99"/>
    <w:pPr>
      <w:tabs>
        <w:tab w:val="left" w:pos="187"/>
      </w:tabs>
    </w:pPr>
  </w:style>
  <w:style w:type="paragraph" w:customStyle="1" w:styleId="CaseNo">
    <w:name w:val="CaseNo"/>
    <w:basedOn w:val="Normal"/>
    <w:rsid w:val="00726C99"/>
    <w:pPr>
      <w:spacing w:after="240"/>
    </w:pPr>
  </w:style>
  <w:style w:type="paragraph" w:customStyle="1" w:styleId="Char">
    <w:name w:val="Char"/>
    <w:basedOn w:val="Normal"/>
    <w:rsid w:val="00726C99"/>
    <w:pPr>
      <w:spacing w:after="160"/>
    </w:pPr>
    <w:rPr>
      <w:rFonts w:ascii="Verdana" w:hAnsi="Verdana" w:cs="Verdana"/>
      <w:sz w:val="20"/>
      <w:szCs w:val="20"/>
    </w:rPr>
  </w:style>
  <w:style w:type="paragraph" w:styleId="FootnoteText">
    <w:name w:val="footnote text"/>
    <w:basedOn w:val="Normal"/>
    <w:link w:val="FootnoteTextChar"/>
    <w:rsid w:val="00991FF7"/>
    <w:rPr>
      <w:sz w:val="20"/>
      <w:szCs w:val="20"/>
    </w:rPr>
  </w:style>
  <w:style w:type="character" w:customStyle="1" w:styleId="FootnoteTextChar">
    <w:name w:val="Footnote Text Char"/>
    <w:basedOn w:val="DefaultParagraphFont"/>
    <w:link w:val="FootnoteText"/>
    <w:rsid w:val="00991FF7"/>
  </w:style>
  <w:style w:type="character" w:styleId="FootnoteReference">
    <w:name w:val="footnote reference"/>
    <w:basedOn w:val="DefaultParagraphFont"/>
    <w:rsid w:val="00991FF7"/>
    <w:rPr>
      <w:vertAlign w:val="superscript"/>
    </w:rPr>
  </w:style>
  <w:style w:type="paragraph" w:styleId="ListParagraph">
    <w:name w:val="List Paragraph"/>
    <w:basedOn w:val="Normal"/>
    <w:uiPriority w:val="34"/>
    <w:qFormat/>
    <w:rsid w:val="00CD69B7"/>
    <w:pPr>
      <w:spacing w:line="480" w:lineRule="auto"/>
      <w:ind w:left="720" w:firstLine="547"/>
      <w:contextualSpacing/>
    </w:pPr>
    <w:rPr>
      <w:rFonts w:ascii="Calibri" w:eastAsia="Calibri" w:hAnsi="Calibri"/>
      <w:sz w:val="22"/>
      <w:szCs w:val="22"/>
    </w:rPr>
  </w:style>
  <w:style w:type="paragraph" w:customStyle="1" w:styleId="AttorneyName">
    <w:name w:val="Attorney Name"/>
    <w:basedOn w:val="Normal"/>
    <w:rsid w:val="002B1A37"/>
    <w:pPr>
      <w:spacing w:line="227" w:lineRule="exact"/>
    </w:pPr>
    <w:rPr>
      <w:rFonts w:ascii="Courier New" w:hAnsi="Courier New"/>
      <w:sz w:val="18"/>
      <w:szCs w:val="20"/>
    </w:rPr>
  </w:style>
  <w:style w:type="paragraph" w:customStyle="1" w:styleId="SingleSpacing">
    <w:name w:val="Single Spacing"/>
    <w:basedOn w:val="Normal"/>
    <w:rsid w:val="001829AF"/>
    <w:pPr>
      <w:spacing w:line="227" w:lineRule="exact"/>
    </w:pPr>
    <w:rPr>
      <w:rFonts w:ascii="Courier New" w:hAnsi="Courier New"/>
      <w:sz w:val="18"/>
      <w:szCs w:val="20"/>
    </w:rPr>
  </w:style>
  <w:style w:type="character" w:customStyle="1" w:styleId="apple-style-span">
    <w:name w:val="apple-style-span"/>
    <w:basedOn w:val="DefaultParagraphFont"/>
    <w:rsid w:val="00D765AA"/>
  </w:style>
  <w:style w:type="character" w:customStyle="1" w:styleId="apple-converted-space">
    <w:name w:val="apple-converted-space"/>
    <w:basedOn w:val="DefaultParagraphFont"/>
    <w:rsid w:val="00D765AA"/>
  </w:style>
  <w:style w:type="character" w:customStyle="1" w:styleId="Heading1Char">
    <w:name w:val="Heading 1 Char"/>
    <w:basedOn w:val="DefaultParagraphFont"/>
    <w:link w:val="Heading1"/>
    <w:rsid w:val="00B21DA0"/>
    <w:rPr>
      <w:rFonts w:ascii="Cambria" w:eastAsia="MS Gothic" w:hAnsi="Cambria" w:cs="Times New Roman"/>
      <w:b/>
      <w:bCs/>
      <w:kern w:val="32"/>
      <w:sz w:val="32"/>
      <w:szCs w:val="32"/>
      <w:lang w:eastAsia="en-US"/>
    </w:rPr>
  </w:style>
  <w:style w:type="character" w:styleId="Emphasis">
    <w:name w:val="Emphasis"/>
    <w:basedOn w:val="DefaultParagraphFont"/>
    <w:qFormat/>
    <w:rsid w:val="00B21DA0"/>
    <w:rPr>
      <w:i/>
      <w:iCs/>
    </w:rPr>
  </w:style>
  <w:style w:type="character" w:styleId="Strong">
    <w:name w:val="Strong"/>
    <w:basedOn w:val="DefaultParagraphFont"/>
    <w:qFormat/>
    <w:rsid w:val="00B21DA0"/>
    <w:rPr>
      <w:b/>
      <w:bCs/>
    </w:rPr>
  </w:style>
  <w:style w:type="paragraph" w:styleId="Subtitle">
    <w:name w:val="Subtitle"/>
    <w:basedOn w:val="Normal"/>
    <w:next w:val="Normal"/>
    <w:link w:val="SubtitleChar"/>
    <w:qFormat/>
    <w:rsid w:val="00B21DA0"/>
    <w:pPr>
      <w:spacing w:after="60"/>
      <w:jc w:val="center"/>
      <w:outlineLvl w:val="1"/>
    </w:pPr>
    <w:rPr>
      <w:rFonts w:ascii="Cambria" w:eastAsia="MS Gothic" w:hAnsi="Cambria"/>
    </w:rPr>
  </w:style>
  <w:style w:type="character" w:customStyle="1" w:styleId="SubtitleChar">
    <w:name w:val="Subtitle Char"/>
    <w:basedOn w:val="DefaultParagraphFont"/>
    <w:link w:val="Subtitle"/>
    <w:rsid w:val="00B21DA0"/>
    <w:rPr>
      <w:rFonts w:ascii="Cambria" w:eastAsia="MS Gothic" w:hAnsi="Cambria" w:cs="Times New Roman"/>
      <w:sz w:val="24"/>
      <w:szCs w:val="24"/>
      <w:lang w:eastAsia="en-US"/>
    </w:rPr>
  </w:style>
  <w:style w:type="character" w:styleId="Hyperlink">
    <w:name w:val="Hyperlink"/>
    <w:basedOn w:val="DefaultParagraphFont"/>
    <w:rsid w:val="00C3526F"/>
    <w:rPr>
      <w:color w:val="0000FF"/>
      <w:u w:val="single"/>
    </w:rPr>
  </w:style>
  <w:style w:type="paragraph" w:customStyle="1" w:styleId="SignatureBlock">
    <w:name w:val="Signature Block"/>
    <w:basedOn w:val="SingleSpacing"/>
    <w:rsid w:val="008C103E"/>
    <w:pPr>
      <w:ind w:left="4680"/>
    </w:pPr>
  </w:style>
  <w:style w:type="paragraph" w:customStyle="1" w:styleId="Signature">
    <w:name w:val="*Signature"/>
    <w:aliases w:val="sig"/>
    <w:basedOn w:val="Normal"/>
    <w:rsid w:val="004E43BE"/>
    <w:pPr>
      <w:keepLines/>
      <w:tabs>
        <w:tab w:val="right" w:pos="9360"/>
      </w:tabs>
      <w:spacing w:after="240" w:line="240" w:lineRule="auto"/>
      <w:ind w:left="5040"/>
    </w:pPr>
  </w:style>
  <w:style w:type="character" w:customStyle="1" w:styleId="HeaderChar">
    <w:name w:val="Header Char"/>
    <w:link w:val="Header"/>
    <w:rsid w:val="004E43BE"/>
    <w:rPr>
      <w:sz w:val="24"/>
      <w:szCs w:val="24"/>
    </w:rPr>
  </w:style>
  <w:style w:type="table" w:styleId="TableGrid">
    <w:name w:val="Table Grid"/>
    <w:basedOn w:val="TableNormal"/>
    <w:uiPriority w:val="59"/>
    <w:rsid w:val="004E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43BE"/>
    <w:rPr>
      <w:sz w:val="24"/>
      <w:szCs w:val="24"/>
    </w:rPr>
  </w:style>
  <w:style w:type="character" w:customStyle="1" w:styleId="cohl">
    <w:name w:val="co_hl"/>
    <w:rsid w:val="00B76571"/>
  </w:style>
  <w:style w:type="paragraph" w:styleId="BalloonText">
    <w:name w:val="Balloon Text"/>
    <w:basedOn w:val="Normal"/>
    <w:link w:val="BalloonTextChar"/>
    <w:rsid w:val="003701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01BF"/>
    <w:rPr>
      <w:rFonts w:ascii="Tahoma" w:hAnsi="Tahoma" w:cs="Tahoma"/>
      <w:sz w:val="16"/>
      <w:szCs w:val="16"/>
    </w:rPr>
  </w:style>
  <w:style w:type="character" w:styleId="FollowedHyperlink">
    <w:name w:val="FollowedHyperlink"/>
    <w:basedOn w:val="DefaultParagraphFont"/>
    <w:rsid w:val="0007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266">
      <w:bodyDiv w:val="1"/>
      <w:marLeft w:val="0"/>
      <w:marRight w:val="0"/>
      <w:marTop w:val="0"/>
      <w:marBottom w:val="0"/>
      <w:divBdr>
        <w:top w:val="none" w:sz="0" w:space="0" w:color="auto"/>
        <w:left w:val="none" w:sz="0" w:space="0" w:color="auto"/>
        <w:bottom w:val="none" w:sz="0" w:space="0" w:color="auto"/>
        <w:right w:val="none" w:sz="0" w:space="0" w:color="auto"/>
      </w:divBdr>
    </w:div>
    <w:div w:id="1115365043">
      <w:bodyDiv w:val="1"/>
      <w:marLeft w:val="0"/>
      <w:marRight w:val="0"/>
      <w:marTop w:val="0"/>
      <w:marBottom w:val="0"/>
      <w:divBdr>
        <w:top w:val="none" w:sz="0" w:space="0" w:color="auto"/>
        <w:left w:val="none" w:sz="0" w:space="0" w:color="auto"/>
        <w:bottom w:val="none" w:sz="0" w:space="0" w:color="auto"/>
        <w:right w:val="none" w:sz="0" w:space="0" w:color="auto"/>
      </w:divBdr>
    </w:div>
    <w:div w:id="1231426953">
      <w:bodyDiv w:val="1"/>
      <w:marLeft w:val="0"/>
      <w:marRight w:val="0"/>
      <w:marTop w:val="0"/>
      <w:marBottom w:val="0"/>
      <w:divBdr>
        <w:top w:val="none" w:sz="0" w:space="0" w:color="auto"/>
        <w:left w:val="none" w:sz="0" w:space="0" w:color="auto"/>
        <w:bottom w:val="none" w:sz="0" w:space="0" w:color="auto"/>
        <w:right w:val="none" w:sz="0" w:space="0" w:color="auto"/>
      </w:divBdr>
      <w:divsChild>
        <w:div w:id="853304122">
          <w:marLeft w:val="0"/>
          <w:marRight w:val="0"/>
          <w:marTop w:val="0"/>
          <w:marBottom w:val="0"/>
          <w:divBdr>
            <w:top w:val="none" w:sz="0" w:space="0" w:color="auto"/>
            <w:left w:val="none" w:sz="0" w:space="0" w:color="auto"/>
            <w:bottom w:val="none" w:sz="0" w:space="0" w:color="auto"/>
            <w:right w:val="none" w:sz="0" w:space="0" w:color="auto"/>
          </w:divBdr>
        </w:div>
      </w:divsChild>
    </w:div>
    <w:div w:id="1897932007">
      <w:bodyDiv w:val="1"/>
      <w:marLeft w:val="0"/>
      <w:marRight w:val="0"/>
      <w:marTop w:val="0"/>
      <w:marBottom w:val="0"/>
      <w:divBdr>
        <w:top w:val="none" w:sz="0" w:space="0" w:color="auto"/>
        <w:left w:val="none" w:sz="0" w:space="0" w:color="auto"/>
        <w:bottom w:val="none" w:sz="0" w:space="0" w:color="auto"/>
        <w:right w:val="none" w:sz="0" w:space="0" w:color="auto"/>
      </w:divBdr>
    </w:div>
    <w:div w:id="1938248506">
      <w:bodyDiv w:val="1"/>
      <w:marLeft w:val="0"/>
      <w:marRight w:val="0"/>
      <w:marTop w:val="0"/>
      <w:marBottom w:val="0"/>
      <w:divBdr>
        <w:top w:val="none" w:sz="0" w:space="0" w:color="auto"/>
        <w:left w:val="none" w:sz="0" w:space="0" w:color="auto"/>
        <w:bottom w:val="none" w:sz="0" w:space="0" w:color="auto"/>
        <w:right w:val="none" w:sz="0" w:space="0" w:color="auto"/>
      </w:divBdr>
    </w:div>
    <w:div w:id="1994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3184</Words>
  <Characters>18153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Complaint Template.DOC  (COMPLA~1.DOC;1)</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2016-01-17T04:43:00Z</dcterms:created>
  <dcterms:modified xsi:type="dcterms:W3CDTF">2016-01-17T04:43:00Z</dcterms:modified>
</cp:coreProperties>
</file>